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0FB1AA3">
      <w:pPr>
        <w:snapToGrid w:val="0"/>
        <w:jc w:val="left"/>
        <w:rPr>
          <w:rFonts w:ascii="宋体" w:hAnsi="宋体"/>
          <w:sz w:val="2"/>
        </w:rPr>
      </w:pPr>
      <w:bookmarkStart w:id="20" w:name="_GoBack"/>
      <w:bookmarkEnd w:id="20"/>
    </w:p>
    <w:p w14:paraId="0C39AA12">
      <w:pPr>
        <w:snapToGrid w:val="0"/>
        <w:jc w:val="left"/>
        <w:rPr>
          <w:rFonts w:eastAsia="華康仿宋體"/>
          <w:sz w:val="2"/>
        </w:rPr>
      </w:pPr>
    </w:p>
    <w:p w14:paraId="1B3E39A0">
      <w:pPr>
        <w:snapToGrid w:val="0"/>
        <w:jc w:val="left"/>
        <w:rPr>
          <w:rFonts w:eastAsia="華康仿宋體"/>
          <w:sz w:val="2"/>
        </w:rPr>
      </w:pPr>
    </w:p>
    <w:p w14:paraId="3D3574BC">
      <w:pPr>
        <w:ind w:firstLine="640" w:firstLineChars="200"/>
        <w:rPr>
          <w:rFonts w:ascii="黑体" w:eastAsia="黑体"/>
          <w:bCs/>
          <w:spacing w:val="6"/>
          <w:w w:val="74"/>
          <w:sz w:val="48"/>
          <w:szCs w:val="48"/>
        </w:rPr>
      </w:pPr>
      <w:r>
        <w:rPr>
          <w:sz w:val="32"/>
          <w:szCs w:val="32"/>
        </w:rPr>
        <w:drawing>
          <wp:anchor distT="0" distB="0" distL="114300" distR="114300" simplePos="0" relativeHeight="251661312" behindDoc="1" locked="0" layoutInCell="1" allowOverlap="1">
            <wp:simplePos x="0" y="0"/>
            <wp:positionH relativeFrom="column">
              <wp:posOffset>66675</wp:posOffset>
            </wp:positionH>
            <wp:positionV relativeFrom="paragraph">
              <wp:posOffset>54610</wp:posOffset>
            </wp:positionV>
            <wp:extent cx="791845" cy="791845"/>
            <wp:effectExtent l="19050" t="0" r="8255" b="0"/>
            <wp:wrapTight wrapText="bothSides">
              <wp:wrapPolygon>
                <wp:start x="-520" y="0"/>
                <wp:lineTo x="-520" y="21306"/>
                <wp:lineTo x="21825" y="21306"/>
                <wp:lineTo x="21825" y="0"/>
                <wp:lineTo x="-520" y="0"/>
              </wp:wrapPolygon>
            </wp:wrapTight>
            <wp:docPr id="6" name="图片 1" descr="001(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001(logo)"/>
                    <pic:cNvPicPr>
                      <a:picLocks noChangeAspect="1" noChangeArrowheads="1"/>
                    </pic:cNvPicPr>
                  </pic:nvPicPr>
                  <pic:blipFill>
                    <a:blip r:embed="rId10"/>
                    <a:srcRect/>
                    <a:stretch>
                      <a:fillRect/>
                    </a:stretch>
                  </pic:blipFill>
                  <pic:spPr>
                    <a:xfrm>
                      <a:off x="0" y="0"/>
                      <a:ext cx="791845" cy="791845"/>
                    </a:xfrm>
                    <a:prstGeom prst="rect">
                      <a:avLst/>
                    </a:prstGeom>
                    <a:noFill/>
                    <a:ln w="9525">
                      <a:noFill/>
                      <a:miter lim="800000"/>
                      <a:headEnd/>
                      <a:tailEnd/>
                    </a:ln>
                  </pic:spPr>
                </pic:pic>
              </a:graphicData>
            </a:graphic>
          </wp:anchor>
        </w:drawing>
      </w:r>
      <w:r>
        <w:rPr>
          <w:rFonts w:hint="eastAsia" w:ascii="黑体" w:eastAsia="黑体"/>
          <w:bCs/>
          <w:spacing w:val="6"/>
          <w:w w:val="74"/>
          <w:sz w:val="48"/>
          <w:szCs w:val="48"/>
        </w:rPr>
        <w:t>合肥高科科技股份有限公司</w:t>
      </w:r>
    </w:p>
    <w:p w14:paraId="46CC2052">
      <w:pPr>
        <w:jc w:val="right"/>
        <w:rPr>
          <w:rFonts w:ascii="黑体" w:hAnsi="黑体" w:eastAsia="黑体" w:cs="黑体"/>
          <w:sz w:val="30"/>
          <w:szCs w:val="30"/>
          <w:vertAlign w:val="subscript"/>
        </w:rPr>
      </w:pPr>
      <w:r>
        <w:rPr>
          <w:rFonts w:hint="eastAsia" w:ascii="黑体" w:hAnsi="黑体" w:eastAsia="黑体" w:cs="黑体"/>
          <w:sz w:val="30"/>
          <w:szCs w:val="30"/>
        </w:rPr>
        <w:t xml:space="preserve"> HFGK-C-ZJB02/01 </w:t>
      </w:r>
    </w:p>
    <w:p w14:paraId="2000C355">
      <w:pPr>
        <w:jc w:val="center"/>
        <w:rPr>
          <w:rFonts w:ascii="黑体" w:eastAsia="黑体"/>
          <w:sz w:val="72"/>
          <w:szCs w:val="72"/>
        </w:rPr>
      </w:pPr>
      <w:r>
        <w:rPr>
          <w:rFonts w:ascii="宋体" w:hAnsi="宋体" w:cs="宋体"/>
        </w:rPr>
        <mc:AlternateContent>
          <mc:Choice Requires="wps">
            <w:drawing>
              <wp:anchor distT="0" distB="0" distL="114300" distR="114300" simplePos="0" relativeHeight="251660288" behindDoc="0" locked="0" layoutInCell="1" allowOverlap="1">
                <wp:simplePos x="0" y="0"/>
                <wp:positionH relativeFrom="column">
                  <wp:posOffset>-887095</wp:posOffset>
                </wp:positionH>
                <wp:positionV relativeFrom="paragraph">
                  <wp:posOffset>212725</wp:posOffset>
                </wp:positionV>
                <wp:extent cx="5478145" cy="8890"/>
                <wp:effectExtent l="0" t="0" r="0" b="0"/>
                <wp:wrapTopAndBottom/>
                <wp:docPr id="4" name="直接连接符 4"/>
                <wp:cNvGraphicFramePr/>
                <a:graphic xmlns:a="http://schemas.openxmlformats.org/drawingml/2006/main">
                  <a:graphicData uri="http://schemas.microsoft.com/office/word/2010/wordprocessingShape">
                    <wps:wsp>
                      <wps:cNvCnPr/>
                      <wps:spPr>
                        <a:xfrm flipV="1">
                          <a:off x="0" y="0"/>
                          <a:ext cx="5466715" cy="8890"/>
                        </a:xfrm>
                        <a:prstGeom prst="line">
                          <a:avLst/>
                        </a:prstGeom>
                        <a:ln w="317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69.85pt;margin-top:16.75pt;height:0.7pt;width:431.35pt;mso-wrap-distance-bottom:0pt;mso-wrap-distance-top:0pt;z-index:251660288;mso-width-relative:page;mso-height-relative:page;" filled="f" stroked="t" coordsize="21600,21600" o:gfxdata="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54JtSNoAAAAKAQAADwAAAAAAAAABACAAAAAiAAAAZHJzL2Rv&#10;d25yZXYueG1sUEsBAhQAFAAAAAgAh07iQC5N4RD/AQAA9AMAAA4AAAAAAAAAAQAgAAAAKQEAAGRy&#10;cy9lMm9Eb2MueG1sUEsFBgAAAAAGAAYAWQEAAJoFAAAAAA==&#10;">
                <v:fill on="f" focussize="0,0"/>
                <v:stroke weight="2.5pt" color="#000000" joinstyle="round"/>
                <v:imagedata o:title=""/>
                <o:lock v:ext="edit" aspectratio="f"/>
                <w10:wrap type="topAndBottom"/>
              </v:line>
            </w:pict>
          </mc:Fallback>
        </mc:AlternateContent>
      </w:r>
    </w:p>
    <w:p w14:paraId="585249AD">
      <w:pPr>
        <w:jc w:val="center"/>
        <w:rPr>
          <w:rFonts w:ascii="黑体" w:eastAsia="黑体"/>
          <w:sz w:val="72"/>
          <w:szCs w:val="72"/>
        </w:rPr>
      </w:pPr>
    </w:p>
    <w:p w14:paraId="67E15BB8">
      <w:pPr>
        <w:jc w:val="center"/>
        <w:rPr>
          <w:rFonts w:ascii="黑体" w:eastAsia="黑体"/>
          <w:sz w:val="72"/>
          <w:szCs w:val="72"/>
        </w:rPr>
      </w:pPr>
    </w:p>
    <w:p w14:paraId="4B8894EF">
      <w:pPr>
        <w:jc w:val="center"/>
        <w:rPr>
          <w:rFonts w:ascii="黑体" w:hAnsi="黑体" w:eastAsia="黑体"/>
          <w:bCs/>
          <w:sz w:val="52"/>
          <w:szCs w:val="52"/>
        </w:rPr>
      </w:pPr>
      <w:r>
        <w:rPr>
          <w:rFonts w:hint="eastAsia" w:ascii="黑体" w:hAnsi="黑体" w:eastAsia="黑体"/>
          <w:bCs/>
          <w:sz w:val="52"/>
          <w:szCs w:val="52"/>
        </w:rPr>
        <w:t>合肥高科科技股份有限公司</w:t>
      </w:r>
    </w:p>
    <w:p w14:paraId="51C66EAA">
      <w:pPr>
        <w:jc w:val="center"/>
        <w:rPr>
          <w:rFonts w:ascii="黑体" w:hAnsi="黑体" w:eastAsia="黑体"/>
          <w:bCs/>
          <w:sz w:val="52"/>
          <w:szCs w:val="52"/>
        </w:rPr>
      </w:pPr>
      <w:r>
        <w:rPr>
          <w:rFonts w:hint="eastAsia" w:ascii="黑体" w:hAnsi="黑体" w:eastAsia="黑体"/>
          <w:bCs/>
          <w:sz w:val="52"/>
          <w:szCs w:val="52"/>
        </w:rPr>
        <w:t>项目招标竞谈文件</w:t>
      </w:r>
    </w:p>
    <w:p w14:paraId="4490416E">
      <w:pPr>
        <w:jc w:val="center"/>
        <w:rPr>
          <w:rFonts w:ascii="黑体" w:hAnsi="黑体" w:eastAsia="黑体"/>
          <w:bCs/>
          <w:sz w:val="52"/>
          <w:szCs w:val="52"/>
        </w:rPr>
      </w:pPr>
    </w:p>
    <w:p w14:paraId="6D2AF259">
      <w:pPr>
        <w:jc w:val="center"/>
        <w:rPr>
          <w:rFonts w:ascii="黑体" w:hAnsi="黑体" w:eastAsia="黑体"/>
          <w:bCs/>
          <w:sz w:val="44"/>
          <w:szCs w:val="44"/>
        </w:rPr>
      </w:pPr>
      <w:r>
        <w:rPr>
          <w:rFonts w:hint="eastAsia" w:ascii="黑体" w:hAnsi="黑体" w:eastAsia="黑体"/>
          <w:bCs/>
          <w:sz w:val="44"/>
          <w:szCs w:val="44"/>
        </w:rPr>
        <w:t>项目编号：</w:t>
      </w:r>
      <w:r>
        <w:rPr>
          <w:rFonts w:hint="eastAsia" w:ascii="黑体" w:hAnsi="黑体" w:eastAsia="黑体"/>
          <w:bCs/>
          <w:sz w:val="44"/>
          <w:szCs w:val="44"/>
          <w:u w:val="single"/>
        </w:rPr>
        <w:t>HFGK20260</w:t>
      </w:r>
      <w:r>
        <w:rPr>
          <w:rFonts w:hint="eastAsia" w:ascii="黑体" w:hAnsi="黑体" w:eastAsia="黑体"/>
          <w:bCs/>
          <w:sz w:val="44"/>
          <w:szCs w:val="44"/>
          <w:u w:val="single"/>
          <w:lang w:val="en-US" w:eastAsia="zh-CN"/>
        </w:rPr>
        <w:t>913</w:t>
      </w:r>
      <w:r>
        <w:rPr>
          <w:rFonts w:hint="eastAsia" w:ascii="黑体" w:hAnsi="黑体" w:eastAsia="黑体"/>
          <w:bCs/>
          <w:sz w:val="44"/>
          <w:szCs w:val="44"/>
          <w:u w:val="single"/>
        </w:rPr>
        <w:t>001</w:t>
      </w:r>
    </w:p>
    <w:p w14:paraId="23A034EC"/>
    <w:p w14:paraId="541B0D7C"/>
    <w:p w14:paraId="2CE14064"/>
    <w:p w14:paraId="586FF6D9"/>
    <w:p w14:paraId="5A5DB75A"/>
    <w:p w14:paraId="584FCD56"/>
    <w:p w14:paraId="08854DB0"/>
    <w:p w14:paraId="7D020C8F"/>
    <w:p w14:paraId="52A8CFEC"/>
    <w:p w14:paraId="313D61E2">
      <w:pPr>
        <w:jc w:val="center"/>
        <w:rPr>
          <w:rFonts w:ascii="宋体" w:hAnsi="宋体" w:cs="宋体"/>
          <w:b/>
          <w:color w:val="000000"/>
          <w:sz w:val="28"/>
          <w:szCs w:val="28"/>
        </w:rPr>
      </w:pPr>
    </w:p>
    <w:p w14:paraId="1AE0EA14">
      <w:pPr>
        <w:jc w:val="center"/>
        <w:rPr>
          <w:rFonts w:ascii="黑体" w:hAnsi="黑体" w:eastAsia="黑体" w:cs="黑体"/>
          <w:bCs/>
          <w:color w:val="000000"/>
          <w:sz w:val="28"/>
          <w:szCs w:val="28"/>
        </w:rPr>
      </w:pPr>
      <w:r>
        <w:rPr>
          <w:rFonts w:hint="eastAsia" w:ascii="黑体" w:hAnsi="黑体" w:eastAsia="黑体" w:cs="黑体"/>
          <w:bCs/>
          <w:color w:val="000000"/>
          <w:sz w:val="28"/>
          <w:szCs w:val="28"/>
        </w:rPr>
        <w:t>合肥高科科技股份有限公司</w:t>
      </w:r>
    </w:p>
    <w:p w14:paraId="4180C5FA">
      <w:pPr>
        <w:jc w:val="center"/>
        <w:rPr>
          <w:rFonts w:ascii="黑体" w:hAnsi="黑体" w:eastAsia="黑体" w:cs="黑体"/>
          <w:bCs/>
          <w:color w:val="000000"/>
          <w:sz w:val="28"/>
          <w:szCs w:val="28"/>
        </w:rPr>
      </w:pPr>
      <w:r>
        <w:rPr>
          <w:rFonts w:hint="eastAsia" w:ascii="黑体" w:hAnsi="黑体" w:eastAsia="黑体" w:cs="黑体"/>
          <w:bCs/>
          <w:color w:val="000000"/>
          <w:sz w:val="28"/>
          <w:szCs w:val="28"/>
        </w:rPr>
        <w:t>佛山事业部</w:t>
      </w:r>
    </w:p>
    <w:p w14:paraId="0437D0F4">
      <w:pPr>
        <w:jc w:val="center"/>
        <w:rPr>
          <w:rFonts w:ascii="宋体" w:hAnsi="宋体" w:cs="宋体"/>
          <w:bCs/>
          <w:color w:val="000000"/>
          <w:sz w:val="28"/>
          <w:szCs w:val="28"/>
        </w:rPr>
      </w:pPr>
      <w:r>
        <w:rPr>
          <w:rFonts w:hint="eastAsia" w:ascii="黑体" w:hAnsi="黑体" w:eastAsia="黑体" w:cs="黑体"/>
          <w:bCs/>
          <w:color w:val="000000"/>
          <w:sz w:val="28"/>
          <w:szCs w:val="28"/>
        </w:rPr>
        <w:t>二〇二六年</w:t>
      </w:r>
      <w:r>
        <w:rPr>
          <w:rFonts w:hint="eastAsia" w:ascii="黑体" w:hAnsi="黑体" w:eastAsia="黑体" w:cs="黑体"/>
          <w:bCs/>
          <w:color w:val="000000"/>
          <w:sz w:val="28"/>
          <w:szCs w:val="28"/>
          <w:lang w:val="en-US" w:eastAsia="zh-CN"/>
        </w:rPr>
        <w:t>九</w:t>
      </w:r>
      <w:r>
        <w:rPr>
          <w:rFonts w:hint="eastAsia" w:ascii="黑体" w:hAnsi="黑体" w:eastAsia="黑体" w:cs="黑体"/>
          <w:bCs/>
          <w:color w:val="000000"/>
          <w:sz w:val="28"/>
          <w:szCs w:val="28"/>
        </w:rPr>
        <w:t>月</w:t>
      </w:r>
      <w:r>
        <w:rPr>
          <w:rFonts w:hint="eastAsia" w:ascii="黑体" w:hAnsi="黑体" w:eastAsia="黑体" w:cs="黑体"/>
          <w:bCs/>
          <w:color w:val="000000"/>
          <w:sz w:val="28"/>
          <w:szCs w:val="28"/>
          <w:lang w:val="en-US" w:eastAsia="zh-CN"/>
        </w:rPr>
        <w:t>十三</w:t>
      </w:r>
      <w:r>
        <w:rPr>
          <w:rFonts w:hint="eastAsia" w:ascii="黑体" w:hAnsi="黑体" w:eastAsia="黑体" w:cs="黑体"/>
          <w:bCs/>
          <w:color w:val="000000"/>
          <w:sz w:val="28"/>
          <w:szCs w:val="28"/>
        </w:rPr>
        <w:t>日</w:t>
      </w:r>
    </w:p>
    <w:p w14:paraId="6C57DEE7">
      <w:pPr>
        <w:rPr>
          <w:rFonts w:ascii="黑体" w:hAnsi="黑体" w:eastAsia="黑体" w:cs="黑体"/>
          <w:bCs/>
          <w:sz w:val="28"/>
          <w:szCs w:val="28"/>
        </w:rPr>
      </w:pPr>
    </w:p>
    <w:p w14:paraId="020F41F4">
      <w:pPr>
        <w:snapToGrid w:val="0"/>
        <w:spacing w:line="500" w:lineRule="exact"/>
        <w:ind w:right="210" w:rightChars="100"/>
        <w:jc w:val="center"/>
        <w:rPr>
          <w:rFonts w:ascii="黑体" w:hAnsi="黑体" w:eastAsia="黑体" w:cs="黑体"/>
          <w:bCs/>
          <w:sz w:val="24"/>
        </w:rPr>
      </w:pPr>
      <w:r>
        <w:rPr>
          <w:rFonts w:hint="eastAsia" w:ascii="黑体" w:hAnsi="黑体" w:eastAsia="黑体" w:cs="黑体"/>
          <w:bCs/>
          <w:sz w:val="24"/>
        </w:rPr>
        <w:t>目录</w:t>
      </w:r>
    </w:p>
    <w:p w14:paraId="1E61CED6">
      <w:pPr>
        <w:snapToGrid w:val="0"/>
        <w:spacing w:line="500" w:lineRule="exact"/>
        <w:ind w:right="210" w:rightChars="100"/>
        <w:jc w:val="center"/>
      </w:pPr>
      <w:r>
        <w:rPr>
          <w:rFonts w:ascii="黑体" w:hAnsi="黑体" w:eastAsia="黑体" w:cs="黑体"/>
          <w:bCs/>
          <w:sz w:val="24"/>
        </w:rPr>
        <w:fldChar w:fldCharType="begin"/>
      </w:r>
      <w:r>
        <w:rPr>
          <w:rFonts w:ascii="黑体" w:hAnsi="黑体" w:eastAsia="黑体" w:cs="黑体"/>
          <w:bCs/>
          <w:sz w:val="24"/>
        </w:rPr>
        <w:instrText xml:space="preserve"> </w:instrText>
      </w:r>
      <w:r>
        <w:rPr>
          <w:rFonts w:hint="eastAsia" w:ascii="黑体" w:hAnsi="黑体" w:eastAsia="黑体" w:cs="黑体"/>
          <w:bCs/>
          <w:sz w:val="24"/>
        </w:rPr>
        <w:instrText xml:space="preserve">TOC \o "1-3" \f \h \z</w:instrText>
      </w:r>
      <w:r>
        <w:rPr>
          <w:rFonts w:ascii="黑体" w:hAnsi="黑体" w:eastAsia="黑体" w:cs="黑体"/>
          <w:bCs/>
          <w:sz w:val="24"/>
        </w:rPr>
        <w:instrText xml:space="preserve"> </w:instrText>
      </w:r>
      <w:r>
        <w:rPr>
          <w:rFonts w:ascii="黑体" w:hAnsi="黑体" w:eastAsia="黑体" w:cs="黑体"/>
          <w:bCs/>
          <w:sz w:val="24"/>
        </w:rPr>
        <w:fldChar w:fldCharType="separate"/>
      </w:r>
    </w:p>
    <w:p w14:paraId="2948AD21">
      <w:pPr>
        <w:pStyle w:val="18"/>
        <w:tabs>
          <w:tab w:val="right" w:leader="dot" w:pos="8687"/>
        </w:tabs>
        <w:spacing w:line="360" w:lineRule="auto"/>
        <w:rPr>
          <w:rFonts w:eastAsiaTheme="minorEastAsia"/>
        </w:rPr>
      </w:pPr>
      <w:r>
        <w:fldChar w:fldCharType="begin"/>
      </w:r>
      <w:r>
        <w:instrText xml:space="preserve"> HYPERLINK \l "_Toc130894087" </w:instrText>
      </w:r>
      <w:r>
        <w:fldChar w:fldCharType="separate"/>
      </w:r>
      <w:r>
        <w:rPr>
          <w:rFonts w:hint="eastAsia" w:eastAsiaTheme="minorEastAsia"/>
        </w:rPr>
        <w:t>第一章  竞争性谈判公告...</w:t>
      </w:r>
      <w:r>
        <w:rPr>
          <w:rFonts w:hint="eastAsia" w:eastAsiaTheme="minorEastAsia"/>
        </w:rPr>
        <w:tab/>
      </w:r>
      <w:r>
        <w:rPr>
          <w:rFonts w:hint="eastAsia" w:eastAsiaTheme="minorEastAsia"/>
        </w:rPr>
        <w:t>1</w:t>
      </w:r>
      <w:r>
        <w:rPr>
          <w:rFonts w:hint="eastAsia" w:eastAsiaTheme="minorEastAsia"/>
        </w:rPr>
        <w:fldChar w:fldCharType="end"/>
      </w:r>
    </w:p>
    <w:p w14:paraId="64269D1C">
      <w:pPr>
        <w:pStyle w:val="18"/>
        <w:tabs>
          <w:tab w:val="right" w:leader="dot" w:pos="8687"/>
        </w:tabs>
        <w:spacing w:line="360" w:lineRule="auto"/>
        <w:rPr>
          <w:rFonts w:eastAsiaTheme="minorEastAsia"/>
        </w:rPr>
      </w:pPr>
      <w:r>
        <w:fldChar w:fldCharType="begin"/>
      </w:r>
      <w:r>
        <w:instrText xml:space="preserve"> HYPERLINK \l "_Toc130894089" </w:instrText>
      </w:r>
      <w:r>
        <w:fldChar w:fldCharType="separate"/>
      </w:r>
      <w:r>
        <w:rPr>
          <w:rFonts w:hint="eastAsia" w:eastAsiaTheme="minorEastAsia"/>
        </w:rPr>
        <w:t>第二章  竞谈方须知</w:t>
      </w:r>
      <w:r>
        <w:rPr>
          <w:rFonts w:hint="eastAsia" w:eastAsiaTheme="minorEastAsia"/>
        </w:rPr>
        <w:tab/>
      </w:r>
      <w:r>
        <w:rPr>
          <w:rFonts w:hint="eastAsia" w:eastAsiaTheme="minorEastAsia"/>
        </w:rPr>
        <w:t>2</w:t>
      </w:r>
      <w:r>
        <w:rPr>
          <w:rFonts w:hint="eastAsia" w:eastAsiaTheme="minorEastAsia"/>
        </w:rPr>
        <w:fldChar w:fldCharType="end"/>
      </w:r>
    </w:p>
    <w:p w14:paraId="38661802">
      <w:pPr>
        <w:pStyle w:val="18"/>
        <w:tabs>
          <w:tab w:val="right" w:leader="dot" w:pos="8687"/>
        </w:tabs>
        <w:spacing w:line="360" w:lineRule="auto"/>
        <w:rPr>
          <w:rFonts w:eastAsiaTheme="minorEastAsia"/>
        </w:rPr>
      </w:pPr>
      <w:r>
        <w:fldChar w:fldCharType="begin"/>
      </w:r>
      <w:r>
        <w:instrText xml:space="preserve"> HYPERLINK \l "_Toc130894091" </w:instrText>
      </w:r>
      <w:r>
        <w:fldChar w:fldCharType="separate"/>
      </w:r>
      <w:r>
        <w:rPr>
          <w:rFonts w:hint="eastAsia" w:eastAsiaTheme="minorEastAsia"/>
        </w:rPr>
        <w:t>第三章  项目技术要求</w:t>
      </w:r>
      <w:r>
        <w:rPr>
          <w:rFonts w:hint="eastAsia" w:eastAsiaTheme="minorEastAsia"/>
        </w:rPr>
        <w:tab/>
      </w:r>
      <w:r>
        <w:rPr>
          <w:rFonts w:hint="eastAsia" w:eastAsiaTheme="minorEastAsia"/>
        </w:rPr>
        <w:t>5</w:t>
      </w:r>
      <w:r>
        <w:rPr>
          <w:rFonts w:hint="eastAsia" w:eastAsiaTheme="minorEastAsia"/>
        </w:rPr>
        <w:fldChar w:fldCharType="end"/>
      </w:r>
    </w:p>
    <w:p w14:paraId="3FB3E097">
      <w:pPr>
        <w:pStyle w:val="18"/>
        <w:tabs>
          <w:tab w:val="right" w:leader="dot" w:pos="8687"/>
        </w:tabs>
        <w:spacing w:line="360" w:lineRule="auto"/>
        <w:rPr>
          <w:rFonts w:eastAsiaTheme="minorEastAsia"/>
        </w:rPr>
      </w:pPr>
      <w:r>
        <w:fldChar w:fldCharType="begin"/>
      </w:r>
      <w:r>
        <w:instrText xml:space="preserve"> HYPERLINK \l "_Toc130894096" </w:instrText>
      </w:r>
      <w:r>
        <w:fldChar w:fldCharType="separate"/>
      </w:r>
      <w:r>
        <w:rPr>
          <w:rFonts w:hint="eastAsia" w:eastAsiaTheme="minorEastAsia"/>
        </w:rPr>
        <w:t>第四章  合同主要条款</w:t>
      </w:r>
      <w:r>
        <w:rPr>
          <w:rFonts w:hint="eastAsia" w:eastAsiaTheme="minorEastAsia"/>
        </w:rPr>
        <w:tab/>
      </w:r>
      <w:r>
        <w:rPr>
          <w:rFonts w:hint="eastAsia" w:eastAsiaTheme="minorEastAsia"/>
        </w:rPr>
        <w:t>7</w:t>
      </w:r>
      <w:r>
        <w:rPr>
          <w:rFonts w:hint="eastAsia" w:eastAsiaTheme="minorEastAsia"/>
        </w:rPr>
        <w:fldChar w:fldCharType="end"/>
      </w:r>
    </w:p>
    <w:p w14:paraId="72BBCEDA">
      <w:pPr>
        <w:pStyle w:val="18"/>
        <w:tabs>
          <w:tab w:val="right" w:leader="dot" w:pos="8687"/>
        </w:tabs>
        <w:spacing w:line="360" w:lineRule="auto"/>
        <w:rPr>
          <w:rFonts w:asciiTheme="minorEastAsia" w:hAnsiTheme="minorEastAsia" w:eastAsiaTheme="minorEastAsia" w:cstheme="minorEastAsia"/>
          <w:szCs w:val="22"/>
        </w:rPr>
      </w:pPr>
      <w:r>
        <w:fldChar w:fldCharType="begin"/>
      </w:r>
      <w:r>
        <w:instrText xml:space="preserve"> HYPERLINK \l "_Toc130894102" </w:instrText>
      </w:r>
      <w:r>
        <w:fldChar w:fldCharType="separate"/>
      </w:r>
      <w:r>
        <w:rPr>
          <w:rFonts w:hint="eastAsia" w:eastAsiaTheme="minorEastAsia"/>
        </w:rPr>
        <w:t>第五章 附件（竞谈文件格式）</w:t>
      </w:r>
      <w:r>
        <w:rPr>
          <w:rFonts w:hint="eastAsia" w:eastAsiaTheme="minorEastAsia"/>
        </w:rPr>
        <w:tab/>
      </w:r>
      <w:r>
        <w:rPr>
          <w:rFonts w:hint="eastAsia" w:eastAsiaTheme="minorEastAsia"/>
        </w:rPr>
        <w:t>7</w:t>
      </w:r>
      <w:r>
        <w:rPr>
          <w:rFonts w:hint="eastAsia" w:eastAsiaTheme="minorEastAsia"/>
        </w:rPr>
        <w:fldChar w:fldCharType="end"/>
      </w:r>
    </w:p>
    <w:p w14:paraId="29FB84C5">
      <w:pPr>
        <w:pStyle w:val="18"/>
        <w:tabs>
          <w:tab w:val="right" w:leader="dot" w:pos="8687"/>
        </w:tabs>
        <w:spacing w:line="360" w:lineRule="auto"/>
        <w:rPr>
          <w:rFonts w:eastAsiaTheme="minorEastAsia"/>
        </w:rPr>
      </w:pPr>
    </w:p>
    <w:p w14:paraId="312151E8">
      <w:pPr>
        <w:snapToGrid w:val="0"/>
        <w:spacing w:line="500" w:lineRule="exact"/>
        <w:ind w:right="210" w:rightChars="100"/>
        <w:jc w:val="center"/>
        <w:rPr>
          <w:rFonts w:ascii="黑体" w:hAnsi="黑体" w:eastAsia="黑体" w:cs="黑体"/>
          <w:bCs/>
          <w:sz w:val="24"/>
        </w:rPr>
        <w:sectPr>
          <w:headerReference r:id="rId4" w:type="first"/>
          <w:headerReference r:id="rId3" w:type="default"/>
          <w:footerReference r:id="rId5" w:type="default"/>
          <w:pgSz w:w="11906" w:h="16838"/>
          <w:pgMar w:top="1417" w:right="1463" w:bottom="1440" w:left="1746" w:header="567" w:footer="283" w:gutter="0"/>
          <w:pgNumType w:start="1"/>
          <w:cols w:space="720" w:num="1"/>
          <w:titlePg/>
          <w:docGrid w:type="lines" w:linePitch="312" w:charSpace="0"/>
        </w:sectPr>
      </w:pPr>
      <w:r>
        <w:rPr>
          <w:rFonts w:ascii="黑体" w:hAnsi="黑体" w:eastAsia="黑体" w:cs="黑体"/>
          <w:bCs/>
          <w:sz w:val="24"/>
        </w:rPr>
        <w:fldChar w:fldCharType="end"/>
      </w:r>
    </w:p>
    <w:p w14:paraId="6650110A">
      <w:pPr>
        <w:jc w:val="center"/>
        <w:rPr>
          <w:rFonts w:ascii="黑体" w:hAnsi="黑体" w:eastAsia="黑体" w:cs="黑体"/>
          <w:sz w:val="24"/>
        </w:rPr>
      </w:pPr>
      <w:bookmarkStart w:id="0" w:name="_Toc376522135"/>
      <w:r>
        <w:rPr>
          <w:rFonts w:hint="eastAsia" w:ascii="黑体" w:hAnsi="黑体" w:eastAsia="黑体" w:cs="黑体"/>
          <w:sz w:val="24"/>
        </w:rPr>
        <w:t>第一章  竞争性谈判公告</w:t>
      </w:r>
      <w:bookmarkEnd w:id="0"/>
    </w:p>
    <w:p w14:paraId="28AA8BB8">
      <w:pPr>
        <w:widowControl/>
        <w:shd w:val="clear" w:color="auto" w:fill="FFFFFF"/>
        <w:snapToGrid w:val="0"/>
        <w:jc w:val="center"/>
        <w:rPr>
          <w:rFonts w:ascii="宋体" w:hAnsi="宋体" w:cs="宋体"/>
          <w:szCs w:val="21"/>
        </w:rPr>
      </w:pPr>
    </w:p>
    <w:p w14:paraId="31BED894">
      <w:pPr>
        <w:spacing w:line="360" w:lineRule="auto"/>
        <w:ind w:firstLine="420" w:firstLineChars="200"/>
        <w:rPr>
          <w:rFonts w:asciiTheme="minorEastAsia" w:hAnsiTheme="minorEastAsia" w:eastAsiaTheme="minorEastAsia" w:cstheme="minorEastAsia"/>
          <w:szCs w:val="21"/>
        </w:rPr>
      </w:pPr>
      <w:bookmarkStart w:id="1" w:name="_Toc376522136"/>
      <w:r>
        <w:rPr>
          <w:rFonts w:hint="eastAsia" w:asciiTheme="minorEastAsia" w:hAnsiTheme="minorEastAsia" w:eastAsiaTheme="minorEastAsia" w:cstheme="minorEastAsia"/>
          <w:szCs w:val="21"/>
        </w:rPr>
        <w:t>合肥高科佛山事业部就</w:t>
      </w:r>
      <w:r>
        <w:rPr>
          <w:rFonts w:hint="eastAsia" w:asciiTheme="minorEastAsia" w:hAnsiTheme="minorEastAsia" w:eastAsiaTheme="minorEastAsia" w:cstheme="minorEastAsia"/>
          <w:szCs w:val="21"/>
          <w:highlight w:val="yellow"/>
          <w:u w:val="single"/>
        </w:rPr>
        <w:t>钣金自动喷涂线</w:t>
      </w:r>
      <w:r>
        <w:rPr>
          <w:rFonts w:hint="eastAsia" w:asciiTheme="minorEastAsia" w:hAnsiTheme="minorEastAsia" w:eastAsiaTheme="minorEastAsia" w:cstheme="minorEastAsia"/>
          <w:szCs w:val="21"/>
        </w:rPr>
        <w:t>项目进行竞争性谈判, 欢迎符合资格条件的供应商参加。</w:t>
      </w:r>
    </w:p>
    <w:p w14:paraId="01876B3A">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一、项目编号：</w:t>
      </w:r>
      <w:r>
        <w:rPr>
          <w:rFonts w:hint="eastAsia" w:asciiTheme="minorEastAsia" w:hAnsiTheme="minorEastAsia" w:eastAsiaTheme="minorEastAsia" w:cstheme="minorEastAsia"/>
          <w:b/>
          <w:bCs/>
          <w:szCs w:val="21"/>
          <w:highlight w:val="yellow"/>
        </w:rPr>
        <w:t>HFGK20260</w:t>
      </w:r>
      <w:r>
        <w:rPr>
          <w:rFonts w:hint="eastAsia" w:asciiTheme="minorEastAsia" w:hAnsiTheme="minorEastAsia" w:eastAsiaTheme="minorEastAsia" w:cstheme="minorEastAsia"/>
          <w:b/>
          <w:bCs/>
          <w:szCs w:val="21"/>
          <w:highlight w:val="yellow"/>
          <w:lang w:val="en-US" w:eastAsia="zh-CN"/>
        </w:rPr>
        <w:t>913</w:t>
      </w:r>
      <w:r>
        <w:rPr>
          <w:rFonts w:hint="eastAsia" w:asciiTheme="minorEastAsia" w:hAnsiTheme="minorEastAsia" w:eastAsiaTheme="minorEastAsia" w:cstheme="minorEastAsia"/>
          <w:b/>
          <w:bCs/>
          <w:szCs w:val="21"/>
          <w:highlight w:val="yellow"/>
        </w:rPr>
        <w:t>001</w:t>
      </w:r>
    </w:p>
    <w:p w14:paraId="43295228">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二、项目名称：佛山事业部</w:t>
      </w:r>
      <w:r>
        <w:rPr>
          <w:rFonts w:hint="eastAsia" w:asciiTheme="minorEastAsia" w:hAnsiTheme="minorEastAsia" w:eastAsiaTheme="minorEastAsia" w:cstheme="minorEastAsia"/>
          <w:szCs w:val="21"/>
          <w:highlight w:val="yellow"/>
          <w:u w:val="single"/>
        </w:rPr>
        <w:t>钣金自动喷涂线项目</w:t>
      </w:r>
    </w:p>
    <w:p w14:paraId="2341AA51">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三、项目概况：</w:t>
      </w:r>
    </w:p>
    <w:p w14:paraId="292FA5F1">
      <w:pPr>
        <w:pStyle w:val="30"/>
        <w:rPr>
          <w:rFonts w:hint="eastAsia" w:eastAsiaTheme="minorEastAsia"/>
          <w:lang w:val="en-US" w:eastAsia="zh-CN"/>
        </w:rPr>
      </w:pPr>
      <w:r>
        <w:rPr>
          <w:rFonts w:hint="eastAsia"/>
        </w:rPr>
        <w:t>1、设备简图</w:t>
      </w:r>
    </w:p>
    <w:p w14:paraId="5B4B1E38">
      <w:pPr>
        <w:pStyle w:val="30"/>
        <w:rPr>
          <w:color w:val="auto"/>
          <w:highlight w:val="yellow"/>
        </w:rPr>
      </w:pPr>
      <w:r>
        <w:drawing>
          <wp:anchor distT="0" distB="0" distL="114300" distR="114300" simplePos="0" relativeHeight="251662336" behindDoc="0" locked="0" layoutInCell="1" allowOverlap="1">
            <wp:simplePos x="0" y="0"/>
            <wp:positionH relativeFrom="column">
              <wp:posOffset>-142875</wp:posOffset>
            </wp:positionH>
            <wp:positionV relativeFrom="paragraph">
              <wp:posOffset>41910</wp:posOffset>
            </wp:positionV>
            <wp:extent cx="6506210" cy="1578610"/>
            <wp:effectExtent l="0" t="0" r="8890" b="254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6506210" cy="1578610"/>
                    </a:xfrm>
                    <a:prstGeom prst="rect">
                      <a:avLst/>
                    </a:prstGeom>
                    <a:noFill/>
                    <a:ln>
                      <a:noFill/>
                    </a:ln>
                  </pic:spPr>
                </pic:pic>
              </a:graphicData>
            </a:graphic>
          </wp:anchor>
        </w:drawing>
      </w:r>
    </w:p>
    <w:p w14:paraId="35CA56BF">
      <w:pPr>
        <w:pStyle w:val="30"/>
        <w:rPr>
          <w:color w:val="auto"/>
          <w:highlight w:val="yellow"/>
        </w:rPr>
      </w:pPr>
    </w:p>
    <w:p w14:paraId="7970C5C7">
      <w:pPr>
        <w:pStyle w:val="30"/>
        <w:rPr>
          <w:color w:val="auto"/>
          <w:highlight w:val="yellow"/>
        </w:rPr>
      </w:pPr>
    </w:p>
    <w:p w14:paraId="08DBC42C">
      <w:pPr>
        <w:pStyle w:val="30"/>
        <w:rPr>
          <w:color w:val="auto"/>
          <w:highlight w:val="yellow"/>
        </w:rPr>
      </w:pPr>
    </w:p>
    <w:p w14:paraId="723AA6A0">
      <w:pPr>
        <w:pStyle w:val="30"/>
        <w:rPr>
          <w:color w:val="auto"/>
          <w:highlight w:val="yellow"/>
        </w:rPr>
      </w:pPr>
    </w:p>
    <w:p w14:paraId="144EF108">
      <w:pPr>
        <w:pStyle w:val="30"/>
        <w:rPr>
          <w:color w:val="auto"/>
          <w:highlight w:val="yellow"/>
        </w:rPr>
      </w:pPr>
    </w:p>
    <w:p w14:paraId="6BD33364">
      <w:pPr>
        <w:pStyle w:val="30"/>
        <w:numPr>
          <w:ilvl w:val="0"/>
          <w:numId w:val="1"/>
        </w:numPr>
      </w:pPr>
      <w:r>
        <w:rPr>
          <w:rFonts w:hint="eastAsia"/>
        </w:rPr>
        <w:t>工艺流程（要求）</w:t>
      </w:r>
    </w:p>
    <w:p w14:paraId="190A886E">
      <w:pPr>
        <w:pStyle w:val="30"/>
        <w:numPr>
          <w:ilvl w:val="0"/>
          <w:numId w:val="0"/>
        </w:numPr>
      </w:pPr>
    </w:p>
    <w:tbl>
      <w:tblPr>
        <w:tblStyle w:val="20"/>
        <w:tblW w:w="9581"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37"/>
        <w:gridCol w:w="1247"/>
        <w:gridCol w:w="1701"/>
        <w:gridCol w:w="1361"/>
        <w:gridCol w:w="1417"/>
        <w:gridCol w:w="3118"/>
      </w:tblGrid>
      <w:tr w14:paraId="7128EBC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737" w:type="dxa"/>
            <w:vAlign w:val="center"/>
          </w:tcPr>
          <w:p w14:paraId="7AE72CD3">
            <w:pPr>
              <w:spacing w:line="400" w:lineRule="exact"/>
              <w:jc w:val="center"/>
              <w:rPr>
                <w:rFonts w:ascii="微软雅黑" w:hAnsi="微软雅黑" w:eastAsia="微软雅黑" w:cs="宋体"/>
                <w:sz w:val="24"/>
              </w:rPr>
            </w:pPr>
            <w:r>
              <w:rPr>
                <w:rFonts w:hint="eastAsia" w:ascii="微软雅黑" w:hAnsi="微软雅黑" w:eastAsia="微软雅黑"/>
                <w:sz w:val="24"/>
              </w:rPr>
              <w:t>序号</w:t>
            </w:r>
          </w:p>
        </w:tc>
        <w:tc>
          <w:tcPr>
            <w:tcW w:w="1247" w:type="dxa"/>
            <w:vAlign w:val="center"/>
          </w:tcPr>
          <w:p w14:paraId="11AF971D">
            <w:pPr>
              <w:spacing w:line="400" w:lineRule="exact"/>
              <w:jc w:val="center"/>
              <w:rPr>
                <w:rFonts w:ascii="微软雅黑" w:hAnsi="微软雅黑" w:eastAsia="微软雅黑"/>
                <w:sz w:val="24"/>
              </w:rPr>
            </w:pPr>
            <w:r>
              <w:rPr>
                <w:rFonts w:hint="eastAsia" w:ascii="微软雅黑" w:hAnsi="微软雅黑" w:eastAsia="微软雅黑"/>
                <w:sz w:val="24"/>
              </w:rPr>
              <w:t>名称</w:t>
            </w:r>
          </w:p>
        </w:tc>
        <w:tc>
          <w:tcPr>
            <w:tcW w:w="1701" w:type="dxa"/>
            <w:vAlign w:val="center"/>
          </w:tcPr>
          <w:p w14:paraId="1844DBC6">
            <w:pPr>
              <w:spacing w:line="400" w:lineRule="exact"/>
              <w:jc w:val="center"/>
              <w:rPr>
                <w:rFonts w:ascii="微软雅黑" w:hAnsi="微软雅黑" w:eastAsia="微软雅黑"/>
                <w:sz w:val="24"/>
              </w:rPr>
            </w:pPr>
            <w:r>
              <w:rPr>
                <w:rFonts w:hint="eastAsia" w:ascii="微软雅黑" w:hAnsi="微软雅黑" w:eastAsia="微软雅黑"/>
                <w:sz w:val="24"/>
              </w:rPr>
              <w:t>处理方式</w:t>
            </w:r>
          </w:p>
        </w:tc>
        <w:tc>
          <w:tcPr>
            <w:tcW w:w="1361" w:type="dxa"/>
            <w:vAlign w:val="center"/>
          </w:tcPr>
          <w:p w14:paraId="24B0032A">
            <w:pPr>
              <w:spacing w:line="400" w:lineRule="exact"/>
              <w:jc w:val="center"/>
              <w:rPr>
                <w:rFonts w:hint="eastAsia" w:ascii="微软雅黑" w:hAnsi="微软雅黑" w:eastAsia="微软雅黑"/>
                <w:sz w:val="24"/>
                <w:lang w:val="en-US" w:eastAsia="zh-CN"/>
              </w:rPr>
            </w:pPr>
            <w:r>
              <w:rPr>
                <w:rFonts w:hint="eastAsia" w:ascii="微软雅黑" w:hAnsi="微软雅黑" w:eastAsia="微软雅黑"/>
                <w:sz w:val="24"/>
              </w:rPr>
              <w:t>时间</w:t>
            </w:r>
            <w:r>
              <w:rPr>
                <w:rFonts w:hint="eastAsia" w:ascii="微软雅黑" w:hAnsi="微软雅黑" w:eastAsia="微软雅黑"/>
                <w:sz w:val="24"/>
                <w:lang w:val="en-US" w:eastAsia="zh-CN"/>
              </w:rPr>
              <w:t>S</w:t>
            </w:r>
          </w:p>
        </w:tc>
        <w:tc>
          <w:tcPr>
            <w:tcW w:w="1417" w:type="dxa"/>
            <w:vAlign w:val="center"/>
          </w:tcPr>
          <w:p w14:paraId="0F7619A2">
            <w:pPr>
              <w:spacing w:line="400" w:lineRule="exact"/>
              <w:jc w:val="center"/>
              <w:rPr>
                <w:rFonts w:ascii="微软雅黑" w:hAnsi="微软雅黑" w:eastAsia="微软雅黑"/>
                <w:sz w:val="24"/>
              </w:rPr>
            </w:pPr>
            <w:r>
              <w:rPr>
                <w:rFonts w:hint="eastAsia" w:ascii="微软雅黑" w:hAnsi="微软雅黑" w:eastAsia="微软雅黑"/>
                <w:sz w:val="24"/>
              </w:rPr>
              <w:t>温度</w:t>
            </w:r>
          </w:p>
        </w:tc>
        <w:tc>
          <w:tcPr>
            <w:tcW w:w="3118" w:type="dxa"/>
            <w:vAlign w:val="center"/>
          </w:tcPr>
          <w:p w14:paraId="40C2183E">
            <w:pPr>
              <w:spacing w:line="400" w:lineRule="exact"/>
              <w:jc w:val="center"/>
              <w:rPr>
                <w:rFonts w:ascii="微软雅黑" w:hAnsi="微软雅黑" w:eastAsia="微软雅黑"/>
                <w:sz w:val="24"/>
              </w:rPr>
            </w:pPr>
            <w:r>
              <w:rPr>
                <w:rFonts w:hint="eastAsia" w:ascii="微软雅黑" w:hAnsi="微软雅黑" w:eastAsia="微软雅黑"/>
                <w:sz w:val="24"/>
              </w:rPr>
              <w:t>备注</w:t>
            </w:r>
          </w:p>
        </w:tc>
      </w:tr>
      <w:tr w14:paraId="38681A3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49EAD2D1">
            <w:pPr>
              <w:spacing w:line="400" w:lineRule="exact"/>
              <w:jc w:val="center"/>
              <w:rPr>
                <w:rFonts w:ascii="微软雅黑" w:hAnsi="微软雅黑" w:eastAsia="微软雅黑"/>
                <w:sz w:val="24"/>
              </w:rPr>
            </w:pPr>
            <w:r>
              <w:rPr>
                <w:rFonts w:hint="eastAsia" w:ascii="微软雅黑" w:hAnsi="微软雅黑" w:eastAsia="微软雅黑"/>
                <w:sz w:val="24"/>
              </w:rPr>
              <w:t>1</w:t>
            </w:r>
          </w:p>
        </w:tc>
        <w:tc>
          <w:tcPr>
            <w:tcW w:w="1247" w:type="dxa"/>
            <w:vAlign w:val="center"/>
          </w:tcPr>
          <w:p w14:paraId="50A6705F">
            <w:pPr>
              <w:spacing w:line="400" w:lineRule="exact"/>
              <w:jc w:val="center"/>
              <w:rPr>
                <w:rFonts w:ascii="微软雅黑" w:hAnsi="微软雅黑" w:eastAsia="微软雅黑"/>
                <w:sz w:val="24"/>
              </w:rPr>
            </w:pPr>
            <w:r>
              <w:rPr>
                <w:rFonts w:hint="eastAsia" w:ascii="微软雅黑" w:hAnsi="微软雅黑" w:eastAsia="微软雅黑"/>
                <w:sz w:val="24"/>
              </w:rPr>
              <w:t>上件</w:t>
            </w:r>
          </w:p>
        </w:tc>
        <w:tc>
          <w:tcPr>
            <w:tcW w:w="1701" w:type="dxa"/>
            <w:vAlign w:val="center"/>
          </w:tcPr>
          <w:p w14:paraId="1C31BB30">
            <w:pPr>
              <w:spacing w:line="400" w:lineRule="exact"/>
              <w:jc w:val="center"/>
              <w:rPr>
                <w:rFonts w:ascii="微软雅黑" w:hAnsi="微软雅黑" w:eastAsia="微软雅黑"/>
                <w:sz w:val="24"/>
              </w:rPr>
            </w:pPr>
            <w:r>
              <w:rPr>
                <w:rFonts w:hint="eastAsia" w:ascii="微软雅黑" w:hAnsi="微软雅黑" w:eastAsia="微软雅黑"/>
                <w:sz w:val="24"/>
              </w:rPr>
              <w:t>手动</w:t>
            </w:r>
          </w:p>
        </w:tc>
        <w:tc>
          <w:tcPr>
            <w:tcW w:w="1361" w:type="dxa"/>
            <w:vAlign w:val="center"/>
          </w:tcPr>
          <w:p w14:paraId="3AE6EFA3">
            <w:pPr>
              <w:spacing w:line="400" w:lineRule="exact"/>
              <w:jc w:val="center"/>
              <w:rPr>
                <w:rFonts w:ascii="微软雅黑" w:hAnsi="微软雅黑" w:eastAsia="微软雅黑"/>
                <w:sz w:val="24"/>
              </w:rPr>
            </w:pPr>
            <w:r>
              <w:rPr>
                <w:rFonts w:hint="eastAsia" w:ascii="微软雅黑" w:hAnsi="微软雅黑" w:eastAsia="微软雅黑"/>
                <w:sz w:val="24"/>
              </w:rPr>
              <w:t>/</w:t>
            </w:r>
          </w:p>
        </w:tc>
        <w:tc>
          <w:tcPr>
            <w:tcW w:w="1417" w:type="dxa"/>
            <w:vAlign w:val="center"/>
          </w:tcPr>
          <w:p w14:paraId="488419D4">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0EDFBD26">
            <w:pPr>
              <w:spacing w:line="400" w:lineRule="exact"/>
              <w:jc w:val="center"/>
              <w:rPr>
                <w:rFonts w:ascii="微软雅黑" w:hAnsi="微软雅黑" w:eastAsia="微软雅黑"/>
                <w:sz w:val="24"/>
              </w:rPr>
            </w:pPr>
          </w:p>
        </w:tc>
      </w:tr>
      <w:tr w14:paraId="5330B25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0CC1BD45">
            <w:pPr>
              <w:spacing w:line="400" w:lineRule="exact"/>
              <w:jc w:val="center"/>
              <w:rPr>
                <w:rFonts w:ascii="微软雅黑" w:hAnsi="微软雅黑" w:eastAsia="微软雅黑"/>
                <w:sz w:val="24"/>
              </w:rPr>
            </w:pPr>
            <w:r>
              <w:rPr>
                <w:rFonts w:hint="eastAsia" w:ascii="微软雅黑" w:hAnsi="微软雅黑" w:eastAsia="微软雅黑"/>
                <w:sz w:val="24"/>
              </w:rPr>
              <w:t>2</w:t>
            </w:r>
          </w:p>
        </w:tc>
        <w:tc>
          <w:tcPr>
            <w:tcW w:w="1247" w:type="dxa"/>
            <w:vAlign w:val="center"/>
          </w:tcPr>
          <w:p w14:paraId="7F86B004">
            <w:pPr>
              <w:spacing w:line="400" w:lineRule="exact"/>
              <w:jc w:val="center"/>
              <w:rPr>
                <w:rFonts w:ascii="微软雅黑" w:hAnsi="微软雅黑" w:eastAsia="微软雅黑"/>
                <w:sz w:val="24"/>
              </w:rPr>
            </w:pPr>
            <w:r>
              <w:rPr>
                <w:rFonts w:hint="eastAsia" w:ascii="微软雅黑" w:hAnsi="微软雅黑" w:eastAsia="微软雅黑"/>
                <w:sz w:val="24"/>
              </w:rPr>
              <w:t>热水洗</w:t>
            </w:r>
          </w:p>
        </w:tc>
        <w:tc>
          <w:tcPr>
            <w:tcW w:w="1701" w:type="dxa"/>
            <w:vAlign w:val="center"/>
          </w:tcPr>
          <w:p w14:paraId="6D1B933E">
            <w:pPr>
              <w:spacing w:line="400" w:lineRule="exact"/>
              <w:jc w:val="center"/>
              <w:rPr>
                <w:rFonts w:ascii="微软雅黑" w:hAnsi="微软雅黑" w:eastAsia="微软雅黑"/>
                <w:sz w:val="24"/>
              </w:rPr>
            </w:pPr>
            <w:r>
              <w:rPr>
                <w:rFonts w:hint="eastAsia" w:ascii="微软雅黑" w:hAnsi="微软雅黑" w:eastAsia="微软雅黑"/>
                <w:sz w:val="24"/>
              </w:rPr>
              <w:t>喷淋</w:t>
            </w:r>
          </w:p>
        </w:tc>
        <w:tc>
          <w:tcPr>
            <w:tcW w:w="1361" w:type="dxa"/>
            <w:vAlign w:val="center"/>
          </w:tcPr>
          <w:p w14:paraId="55ECB339">
            <w:pPr>
              <w:spacing w:line="400" w:lineRule="exact"/>
              <w:jc w:val="center"/>
              <w:rPr>
                <w:rFonts w:ascii="微软雅黑" w:hAnsi="微软雅黑" w:eastAsia="微软雅黑"/>
                <w:sz w:val="24"/>
              </w:rPr>
            </w:pPr>
            <w:r>
              <w:rPr>
                <w:rFonts w:hint="eastAsia" w:ascii="微软雅黑" w:hAnsi="微软雅黑" w:eastAsia="微软雅黑"/>
                <w:sz w:val="24"/>
              </w:rPr>
              <w:t>30</w:t>
            </w:r>
          </w:p>
        </w:tc>
        <w:tc>
          <w:tcPr>
            <w:tcW w:w="1417" w:type="dxa"/>
            <w:vAlign w:val="center"/>
          </w:tcPr>
          <w:p w14:paraId="74A47BBA">
            <w:pPr>
              <w:spacing w:line="400" w:lineRule="exact"/>
              <w:jc w:val="center"/>
              <w:rPr>
                <w:rFonts w:ascii="微软雅黑" w:hAnsi="微软雅黑" w:eastAsia="微软雅黑"/>
                <w:sz w:val="24"/>
              </w:rPr>
            </w:pPr>
            <w:r>
              <w:rPr>
                <w:rFonts w:hint="eastAsia" w:ascii="微软雅黑" w:hAnsi="微软雅黑" w:eastAsia="微软雅黑"/>
                <w:sz w:val="24"/>
              </w:rPr>
              <w:t>30-60℃</w:t>
            </w:r>
          </w:p>
        </w:tc>
        <w:tc>
          <w:tcPr>
            <w:tcW w:w="3118" w:type="dxa"/>
            <w:vAlign w:val="center"/>
          </w:tcPr>
          <w:p w14:paraId="652B8F98">
            <w:pPr>
              <w:keepNext w:val="0"/>
              <w:keepLines w:val="0"/>
              <w:widowControl/>
              <w:suppressLineNumbers w:val="0"/>
              <w:jc w:val="left"/>
              <w:rPr>
                <w:rFonts w:hint="default" w:ascii="微软雅黑" w:hAnsi="微软雅黑" w:eastAsia="微软雅黑"/>
                <w:sz w:val="24"/>
                <w:lang w:val="en-US"/>
              </w:rPr>
            </w:pPr>
            <w:r>
              <w:rPr>
                <w:rFonts w:hint="eastAsia" w:ascii="微软雅黑" w:hAnsi="微软雅黑" w:eastAsia="微软雅黑"/>
                <w:sz w:val="24"/>
              </w:rPr>
              <w:t>水干炉盘管加热系统</w:t>
            </w:r>
            <w:r>
              <w:rPr>
                <w:rFonts w:hint="eastAsia" w:ascii="微软雅黑" w:hAnsi="微软雅黑" w:eastAsia="微软雅黑"/>
                <w:sz w:val="24"/>
                <w:lang w:eastAsia="zh-CN"/>
              </w:rPr>
              <w:t>，</w:t>
            </w:r>
            <w:r>
              <w:rPr>
                <w:rFonts w:hint="eastAsia" w:ascii="微软雅黑" w:hAnsi="微软雅黑" w:eastAsia="微软雅黑"/>
                <w:sz w:val="24"/>
                <w:lang w:val="en-US" w:eastAsia="zh-CN"/>
              </w:rPr>
              <w:t>增加过滤网</w:t>
            </w:r>
          </w:p>
        </w:tc>
      </w:tr>
      <w:tr w14:paraId="0DDF985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0E3620E0">
            <w:pPr>
              <w:spacing w:line="400" w:lineRule="exact"/>
              <w:jc w:val="center"/>
              <w:rPr>
                <w:rFonts w:ascii="微软雅黑" w:hAnsi="微软雅黑" w:eastAsia="微软雅黑"/>
                <w:sz w:val="24"/>
              </w:rPr>
            </w:pPr>
            <w:r>
              <w:rPr>
                <w:rFonts w:hint="eastAsia" w:ascii="微软雅黑" w:hAnsi="微软雅黑" w:eastAsia="微软雅黑"/>
                <w:sz w:val="24"/>
              </w:rPr>
              <w:t>3</w:t>
            </w:r>
          </w:p>
        </w:tc>
        <w:tc>
          <w:tcPr>
            <w:tcW w:w="1247" w:type="dxa"/>
            <w:vAlign w:val="center"/>
          </w:tcPr>
          <w:p w14:paraId="4D97FB7B">
            <w:pPr>
              <w:spacing w:line="400" w:lineRule="exact"/>
              <w:jc w:val="center"/>
              <w:rPr>
                <w:rFonts w:ascii="微软雅黑" w:hAnsi="微软雅黑" w:eastAsia="微软雅黑"/>
                <w:sz w:val="24"/>
              </w:rPr>
            </w:pPr>
            <w:r>
              <w:rPr>
                <w:rFonts w:hint="eastAsia" w:ascii="微软雅黑" w:hAnsi="微软雅黑" w:eastAsia="微软雅黑"/>
                <w:sz w:val="24"/>
              </w:rPr>
              <w:t>预脱脂</w:t>
            </w:r>
          </w:p>
        </w:tc>
        <w:tc>
          <w:tcPr>
            <w:tcW w:w="1701" w:type="dxa"/>
            <w:vAlign w:val="center"/>
          </w:tcPr>
          <w:p w14:paraId="5A9769CF">
            <w:pPr>
              <w:spacing w:line="400" w:lineRule="exact"/>
              <w:jc w:val="center"/>
              <w:rPr>
                <w:rFonts w:ascii="微软雅黑" w:hAnsi="微软雅黑" w:eastAsia="微软雅黑"/>
                <w:sz w:val="24"/>
              </w:rPr>
            </w:pPr>
            <w:r>
              <w:rPr>
                <w:rFonts w:hint="eastAsia" w:ascii="微软雅黑" w:hAnsi="微软雅黑" w:eastAsia="微软雅黑"/>
                <w:sz w:val="24"/>
              </w:rPr>
              <w:t>喷淋</w:t>
            </w:r>
          </w:p>
        </w:tc>
        <w:tc>
          <w:tcPr>
            <w:tcW w:w="1361" w:type="dxa"/>
            <w:vAlign w:val="center"/>
          </w:tcPr>
          <w:p w14:paraId="7DC31904">
            <w:pPr>
              <w:spacing w:line="400" w:lineRule="exact"/>
              <w:jc w:val="center"/>
              <w:rPr>
                <w:rFonts w:ascii="微软雅黑" w:hAnsi="微软雅黑" w:eastAsia="微软雅黑"/>
                <w:sz w:val="24"/>
              </w:rPr>
            </w:pPr>
            <w:r>
              <w:rPr>
                <w:rFonts w:hint="eastAsia" w:ascii="微软雅黑" w:hAnsi="微软雅黑" w:eastAsia="微软雅黑"/>
                <w:sz w:val="24"/>
                <w:lang w:val="en-US" w:eastAsia="zh-CN"/>
              </w:rPr>
              <w:t>60</w:t>
            </w:r>
          </w:p>
        </w:tc>
        <w:tc>
          <w:tcPr>
            <w:tcW w:w="1417" w:type="dxa"/>
            <w:vAlign w:val="center"/>
          </w:tcPr>
          <w:p w14:paraId="40A3A118">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6067EC42">
            <w:pPr>
              <w:spacing w:line="400" w:lineRule="exact"/>
              <w:jc w:val="center"/>
              <w:rPr>
                <w:rFonts w:ascii="微软雅黑" w:hAnsi="微软雅黑" w:eastAsia="微软雅黑"/>
                <w:sz w:val="24"/>
              </w:rPr>
            </w:pPr>
            <w:r>
              <w:rPr>
                <w:rFonts w:hint="eastAsia" w:ascii="微软雅黑" w:hAnsi="微软雅黑" w:eastAsia="微软雅黑"/>
                <w:sz w:val="24"/>
                <w:lang w:val="en-US" w:eastAsia="zh-CN"/>
              </w:rPr>
              <w:t>增加过滤网</w:t>
            </w:r>
          </w:p>
        </w:tc>
      </w:tr>
      <w:tr w14:paraId="4A81146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55E303F6">
            <w:pPr>
              <w:spacing w:line="400" w:lineRule="exact"/>
              <w:jc w:val="center"/>
              <w:rPr>
                <w:rFonts w:ascii="微软雅黑" w:hAnsi="微软雅黑" w:eastAsia="微软雅黑"/>
                <w:sz w:val="24"/>
              </w:rPr>
            </w:pPr>
            <w:r>
              <w:rPr>
                <w:rFonts w:hint="eastAsia" w:ascii="微软雅黑" w:hAnsi="微软雅黑" w:eastAsia="微软雅黑"/>
                <w:sz w:val="24"/>
              </w:rPr>
              <w:t>4</w:t>
            </w:r>
          </w:p>
        </w:tc>
        <w:tc>
          <w:tcPr>
            <w:tcW w:w="1247" w:type="dxa"/>
            <w:vAlign w:val="center"/>
          </w:tcPr>
          <w:p w14:paraId="011BD87A">
            <w:pPr>
              <w:spacing w:line="400" w:lineRule="exact"/>
              <w:jc w:val="center"/>
              <w:rPr>
                <w:rFonts w:ascii="微软雅黑" w:hAnsi="微软雅黑" w:eastAsia="微软雅黑"/>
                <w:sz w:val="24"/>
              </w:rPr>
            </w:pPr>
            <w:r>
              <w:rPr>
                <w:rFonts w:hint="eastAsia" w:ascii="微软雅黑" w:hAnsi="微软雅黑" w:eastAsia="微软雅黑"/>
                <w:sz w:val="24"/>
              </w:rPr>
              <w:t>主脱脂</w:t>
            </w:r>
          </w:p>
        </w:tc>
        <w:tc>
          <w:tcPr>
            <w:tcW w:w="1701" w:type="dxa"/>
            <w:vAlign w:val="center"/>
          </w:tcPr>
          <w:p w14:paraId="244C6736">
            <w:pPr>
              <w:spacing w:line="400" w:lineRule="exact"/>
              <w:jc w:val="center"/>
              <w:rPr>
                <w:rFonts w:ascii="微软雅黑" w:hAnsi="微软雅黑" w:eastAsia="微软雅黑"/>
                <w:sz w:val="24"/>
              </w:rPr>
            </w:pPr>
            <w:r>
              <w:rPr>
                <w:rFonts w:hint="eastAsia" w:ascii="微软雅黑" w:hAnsi="微软雅黑" w:eastAsia="微软雅黑"/>
                <w:sz w:val="24"/>
              </w:rPr>
              <w:t>喷淋</w:t>
            </w:r>
          </w:p>
        </w:tc>
        <w:tc>
          <w:tcPr>
            <w:tcW w:w="1361" w:type="dxa"/>
            <w:vAlign w:val="center"/>
          </w:tcPr>
          <w:p w14:paraId="22204083">
            <w:pPr>
              <w:spacing w:line="400" w:lineRule="exact"/>
              <w:jc w:val="center"/>
              <w:rPr>
                <w:rFonts w:ascii="微软雅黑" w:hAnsi="微软雅黑" w:eastAsia="微软雅黑"/>
                <w:sz w:val="24"/>
              </w:rPr>
            </w:pPr>
            <w:r>
              <w:rPr>
                <w:rFonts w:hint="eastAsia" w:ascii="微软雅黑" w:hAnsi="微软雅黑" w:eastAsia="微软雅黑"/>
                <w:sz w:val="24"/>
                <w:lang w:val="en-US" w:eastAsia="zh-CN"/>
              </w:rPr>
              <w:t>120</w:t>
            </w:r>
          </w:p>
        </w:tc>
        <w:tc>
          <w:tcPr>
            <w:tcW w:w="1417" w:type="dxa"/>
            <w:vAlign w:val="center"/>
          </w:tcPr>
          <w:p w14:paraId="4A57A1EA">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1EEB78AC">
            <w:pPr>
              <w:spacing w:line="400" w:lineRule="exact"/>
              <w:jc w:val="center"/>
              <w:rPr>
                <w:rFonts w:ascii="微软雅黑" w:hAnsi="微软雅黑" w:eastAsia="微软雅黑"/>
                <w:sz w:val="24"/>
              </w:rPr>
            </w:pPr>
            <w:r>
              <w:rPr>
                <w:rFonts w:hint="eastAsia" w:ascii="微软雅黑" w:hAnsi="微软雅黑" w:eastAsia="微软雅黑"/>
                <w:sz w:val="24"/>
                <w:lang w:val="en-US" w:eastAsia="zh-CN"/>
              </w:rPr>
              <w:t>增加过滤网</w:t>
            </w:r>
          </w:p>
        </w:tc>
      </w:tr>
      <w:tr w14:paraId="5916DB0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54F9B7C5">
            <w:pPr>
              <w:spacing w:line="400" w:lineRule="exact"/>
              <w:jc w:val="center"/>
              <w:rPr>
                <w:rFonts w:ascii="微软雅黑" w:hAnsi="微软雅黑" w:eastAsia="微软雅黑"/>
                <w:sz w:val="24"/>
              </w:rPr>
            </w:pPr>
            <w:r>
              <w:rPr>
                <w:rFonts w:hint="eastAsia" w:ascii="微软雅黑" w:hAnsi="微软雅黑" w:eastAsia="微软雅黑"/>
                <w:sz w:val="24"/>
              </w:rPr>
              <w:t>5</w:t>
            </w:r>
          </w:p>
        </w:tc>
        <w:tc>
          <w:tcPr>
            <w:tcW w:w="1247" w:type="dxa"/>
            <w:vAlign w:val="center"/>
          </w:tcPr>
          <w:p w14:paraId="0B0BEB6B">
            <w:pPr>
              <w:spacing w:line="400" w:lineRule="exact"/>
              <w:jc w:val="center"/>
              <w:rPr>
                <w:rFonts w:ascii="微软雅黑" w:hAnsi="微软雅黑" w:eastAsia="微软雅黑"/>
                <w:sz w:val="24"/>
              </w:rPr>
            </w:pPr>
            <w:r>
              <w:rPr>
                <w:rFonts w:hint="eastAsia" w:ascii="微软雅黑" w:hAnsi="微软雅黑" w:eastAsia="微软雅黑"/>
                <w:sz w:val="24"/>
              </w:rPr>
              <w:t>水洗1</w:t>
            </w:r>
          </w:p>
        </w:tc>
        <w:tc>
          <w:tcPr>
            <w:tcW w:w="1701" w:type="dxa"/>
            <w:vAlign w:val="center"/>
          </w:tcPr>
          <w:p w14:paraId="63531C18">
            <w:pPr>
              <w:spacing w:line="400" w:lineRule="exact"/>
              <w:jc w:val="center"/>
              <w:rPr>
                <w:rFonts w:ascii="微软雅黑" w:hAnsi="微软雅黑" w:eastAsia="微软雅黑"/>
                <w:sz w:val="24"/>
              </w:rPr>
            </w:pPr>
            <w:r>
              <w:rPr>
                <w:rFonts w:hint="eastAsia" w:ascii="微软雅黑" w:hAnsi="微软雅黑" w:eastAsia="微软雅黑"/>
                <w:sz w:val="24"/>
              </w:rPr>
              <w:t>喷淋</w:t>
            </w:r>
          </w:p>
        </w:tc>
        <w:tc>
          <w:tcPr>
            <w:tcW w:w="1361" w:type="dxa"/>
            <w:vAlign w:val="center"/>
          </w:tcPr>
          <w:p w14:paraId="0669B5B7">
            <w:pPr>
              <w:spacing w:line="400" w:lineRule="exact"/>
              <w:jc w:val="center"/>
              <w:rPr>
                <w:rFonts w:ascii="微软雅黑" w:hAnsi="微软雅黑" w:eastAsia="微软雅黑"/>
                <w:sz w:val="24"/>
              </w:rPr>
            </w:pPr>
            <w:r>
              <w:rPr>
                <w:rFonts w:hint="eastAsia" w:ascii="微软雅黑" w:hAnsi="微软雅黑" w:eastAsia="微软雅黑"/>
                <w:sz w:val="24"/>
              </w:rPr>
              <w:t>30</w:t>
            </w:r>
          </w:p>
        </w:tc>
        <w:tc>
          <w:tcPr>
            <w:tcW w:w="1417" w:type="dxa"/>
            <w:vAlign w:val="center"/>
          </w:tcPr>
          <w:p w14:paraId="206CDDA9">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0B806E5F">
            <w:pPr>
              <w:spacing w:line="400" w:lineRule="exact"/>
              <w:jc w:val="center"/>
              <w:rPr>
                <w:rFonts w:hint="default" w:ascii="微软雅黑" w:hAnsi="微软雅黑" w:eastAsia="微软雅黑"/>
                <w:sz w:val="24"/>
                <w:lang w:val="en-US"/>
              </w:rPr>
            </w:pPr>
            <w:r>
              <w:rPr>
                <w:rFonts w:hint="eastAsia" w:ascii="微软雅黑" w:hAnsi="微软雅黑" w:eastAsia="微软雅黑"/>
                <w:sz w:val="24"/>
                <w:lang w:val="en-US" w:eastAsia="zh-CN"/>
              </w:rPr>
              <w:t>增加过滤网、溢流</w:t>
            </w:r>
          </w:p>
        </w:tc>
      </w:tr>
      <w:tr w14:paraId="70114B9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5CDE3F76">
            <w:pPr>
              <w:spacing w:line="400" w:lineRule="exact"/>
              <w:jc w:val="center"/>
              <w:rPr>
                <w:rFonts w:ascii="微软雅黑" w:hAnsi="微软雅黑" w:eastAsia="微软雅黑"/>
                <w:sz w:val="24"/>
              </w:rPr>
            </w:pPr>
            <w:r>
              <w:rPr>
                <w:rFonts w:hint="eastAsia" w:ascii="微软雅黑" w:hAnsi="微软雅黑" w:eastAsia="微软雅黑"/>
                <w:sz w:val="24"/>
              </w:rPr>
              <w:t>6</w:t>
            </w:r>
          </w:p>
        </w:tc>
        <w:tc>
          <w:tcPr>
            <w:tcW w:w="1247" w:type="dxa"/>
            <w:vAlign w:val="center"/>
          </w:tcPr>
          <w:p w14:paraId="5535857B">
            <w:pPr>
              <w:spacing w:line="400" w:lineRule="exact"/>
              <w:jc w:val="center"/>
              <w:rPr>
                <w:rFonts w:ascii="微软雅黑" w:hAnsi="微软雅黑" w:eastAsia="微软雅黑"/>
                <w:sz w:val="24"/>
              </w:rPr>
            </w:pPr>
            <w:r>
              <w:rPr>
                <w:rFonts w:hint="eastAsia" w:ascii="微软雅黑" w:hAnsi="微软雅黑" w:eastAsia="微软雅黑"/>
                <w:sz w:val="24"/>
              </w:rPr>
              <w:t>水洗2</w:t>
            </w:r>
          </w:p>
        </w:tc>
        <w:tc>
          <w:tcPr>
            <w:tcW w:w="1701" w:type="dxa"/>
            <w:vAlign w:val="center"/>
          </w:tcPr>
          <w:p w14:paraId="014EA3F1">
            <w:pPr>
              <w:spacing w:line="400" w:lineRule="exact"/>
              <w:jc w:val="center"/>
              <w:rPr>
                <w:rFonts w:ascii="微软雅黑" w:hAnsi="微软雅黑" w:eastAsia="微软雅黑"/>
                <w:sz w:val="24"/>
              </w:rPr>
            </w:pPr>
            <w:r>
              <w:rPr>
                <w:rFonts w:hint="eastAsia" w:ascii="微软雅黑" w:hAnsi="微软雅黑" w:eastAsia="微软雅黑"/>
                <w:sz w:val="24"/>
              </w:rPr>
              <w:t>喷淋</w:t>
            </w:r>
          </w:p>
        </w:tc>
        <w:tc>
          <w:tcPr>
            <w:tcW w:w="1361" w:type="dxa"/>
            <w:vAlign w:val="center"/>
          </w:tcPr>
          <w:p w14:paraId="40F40960">
            <w:pPr>
              <w:spacing w:line="400" w:lineRule="exact"/>
              <w:jc w:val="center"/>
              <w:rPr>
                <w:rFonts w:ascii="微软雅黑" w:hAnsi="微软雅黑" w:eastAsia="微软雅黑"/>
                <w:sz w:val="24"/>
              </w:rPr>
            </w:pPr>
            <w:r>
              <w:rPr>
                <w:rFonts w:hint="eastAsia" w:ascii="微软雅黑" w:hAnsi="微软雅黑" w:eastAsia="微软雅黑"/>
                <w:sz w:val="24"/>
              </w:rPr>
              <w:t>30</w:t>
            </w:r>
          </w:p>
        </w:tc>
        <w:tc>
          <w:tcPr>
            <w:tcW w:w="1417" w:type="dxa"/>
            <w:vAlign w:val="center"/>
          </w:tcPr>
          <w:p w14:paraId="6D1883E3">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608882DD">
            <w:pPr>
              <w:spacing w:line="400" w:lineRule="exact"/>
              <w:jc w:val="center"/>
              <w:rPr>
                <w:rFonts w:hint="default" w:ascii="微软雅黑" w:hAnsi="微软雅黑" w:eastAsia="微软雅黑"/>
                <w:sz w:val="24"/>
                <w:lang w:val="en-US"/>
              </w:rPr>
            </w:pPr>
            <w:r>
              <w:rPr>
                <w:rFonts w:hint="eastAsia" w:ascii="微软雅黑" w:hAnsi="微软雅黑" w:eastAsia="微软雅黑"/>
                <w:sz w:val="24"/>
                <w:lang w:val="en-US" w:eastAsia="zh-CN"/>
              </w:rPr>
              <w:t>增加过滤网、溢流至水洗1</w:t>
            </w:r>
          </w:p>
        </w:tc>
      </w:tr>
      <w:tr w14:paraId="6AA7D7E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628E1B53">
            <w:pPr>
              <w:spacing w:line="400" w:lineRule="exact"/>
              <w:jc w:val="center"/>
              <w:rPr>
                <w:rFonts w:ascii="微软雅黑" w:hAnsi="微软雅黑" w:eastAsia="微软雅黑"/>
                <w:sz w:val="24"/>
              </w:rPr>
            </w:pPr>
            <w:r>
              <w:rPr>
                <w:rFonts w:hint="eastAsia" w:ascii="微软雅黑" w:hAnsi="微软雅黑" w:eastAsia="微软雅黑"/>
                <w:sz w:val="24"/>
              </w:rPr>
              <w:t>7</w:t>
            </w:r>
          </w:p>
        </w:tc>
        <w:tc>
          <w:tcPr>
            <w:tcW w:w="1247" w:type="dxa"/>
            <w:vAlign w:val="center"/>
          </w:tcPr>
          <w:p w14:paraId="00BB2AFA">
            <w:pPr>
              <w:spacing w:line="400" w:lineRule="exact"/>
              <w:jc w:val="center"/>
              <w:rPr>
                <w:rFonts w:ascii="微软雅黑" w:hAnsi="微软雅黑" w:eastAsia="微软雅黑"/>
                <w:sz w:val="24"/>
              </w:rPr>
            </w:pPr>
            <w:r>
              <w:rPr>
                <w:rFonts w:hint="eastAsia" w:ascii="微软雅黑" w:hAnsi="微软雅黑" w:eastAsia="微软雅黑"/>
                <w:sz w:val="24"/>
              </w:rPr>
              <w:t>陶化</w:t>
            </w:r>
          </w:p>
        </w:tc>
        <w:tc>
          <w:tcPr>
            <w:tcW w:w="1701" w:type="dxa"/>
            <w:vAlign w:val="center"/>
          </w:tcPr>
          <w:p w14:paraId="276C7AE9">
            <w:pPr>
              <w:spacing w:line="400" w:lineRule="exact"/>
              <w:jc w:val="center"/>
              <w:rPr>
                <w:rFonts w:ascii="微软雅黑" w:hAnsi="微软雅黑" w:eastAsia="微软雅黑"/>
                <w:sz w:val="24"/>
              </w:rPr>
            </w:pPr>
            <w:r>
              <w:rPr>
                <w:rFonts w:hint="eastAsia" w:ascii="微软雅黑" w:hAnsi="微软雅黑" w:eastAsia="微软雅黑"/>
                <w:sz w:val="24"/>
              </w:rPr>
              <w:t>喷淋</w:t>
            </w:r>
          </w:p>
        </w:tc>
        <w:tc>
          <w:tcPr>
            <w:tcW w:w="1361" w:type="dxa"/>
            <w:vAlign w:val="center"/>
          </w:tcPr>
          <w:p w14:paraId="07B3F811">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120</w:t>
            </w:r>
          </w:p>
        </w:tc>
        <w:tc>
          <w:tcPr>
            <w:tcW w:w="1417" w:type="dxa"/>
            <w:vAlign w:val="center"/>
          </w:tcPr>
          <w:p w14:paraId="1E4064BB">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27650CC6">
            <w:pPr>
              <w:spacing w:line="400" w:lineRule="exact"/>
              <w:jc w:val="center"/>
              <w:rPr>
                <w:rFonts w:ascii="微软雅黑" w:hAnsi="微软雅黑" w:eastAsia="微软雅黑"/>
                <w:sz w:val="24"/>
              </w:rPr>
            </w:pPr>
            <w:r>
              <w:rPr>
                <w:rFonts w:hint="eastAsia" w:ascii="微软雅黑" w:hAnsi="微软雅黑" w:eastAsia="微软雅黑"/>
                <w:sz w:val="24"/>
                <w:lang w:val="en-US" w:eastAsia="zh-CN"/>
              </w:rPr>
              <w:t>增加过滤网</w:t>
            </w:r>
          </w:p>
        </w:tc>
      </w:tr>
      <w:tr w14:paraId="2D874BC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4413153F">
            <w:pPr>
              <w:spacing w:line="400" w:lineRule="exact"/>
              <w:jc w:val="center"/>
              <w:rPr>
                <w:rFonts w:ascii="微软雅黑" w:hAnsi="微软雅黑" w:eastAsia="微软雅黑"/>
                <w:sz w:val="24"/>
              </w:rPr>
            </w:pPr>
            <w:r>
              <w:rPr>
                <w:rFonts w:hint="eastAsia" w:ascii="微软雅黑" w:hAnsi="微软雅黑" w:eastAsia="微软雅黑"/>
                <w:sz w:val="24"/>
              </w:rPr>
              <w:t>8</w:t>
            </w:r>
          </w:p>
        </w:tc>
        <w:tc>
          <w:tcPr>
            <w:tcW w:w="1247" w:type="dxa"/>
            <w:vAlign w:val="center"/>
          </w:tcPr>
          <w:p w14:paraId="2B22DCF7">
            <w:pPr>
              <w:spacing w:line="400" w:lineRule="exact"/>
              <w:jc w:val="center"/>
              <w:rPr>
                <w:rFonts w:ascii="微软雅黑" w:hAnsi="微软雅黑" w:eastAsia="微软雅黑"/>
                <w:sz w:val="24"/>
              </w:rPr>
            </w:pPr>
            <w:r>
              <w:rPr>
                <w:rFonts w:hint="eastAsia" w:ascii="微软雅黑" w:hAnsi="微软雅黑" w:eastAsia="微软雅黑"/>
                <w:sz w:val="24"/>
              </w:rPr>
              <w:t>水洗3</w:t>
            </w:r>
          </w:p>
        </w:tc>
        <w:tc>
          <w:tcPr>
            <w:tcW w:w="1701" w:type="dxa"/>
            <w:vAlign w:val="center"/>
          </w:tcPr>
          <w:p w14:paraId="7383C9B7">
            <w:pPr>
              <w:spacing w:line="400" w:lineRule="exact"/>
              <w:jc w:val="center"/>
              <w:rPr>
                <w:rFonts w:ascii="微软雅黑" w:hAnsi="微软雅黑" w:eastAsia="微软雅黑"/>
                <w:sz w:val="24"/>
              </w:rPr>
            </w:pPr>
            <w:r>
              <w:rPr>
                <w:rFonts w:hint="eastAsia" w:ascii="微软雅黑" w:hAnsi="微软雅黑" w:eastAsia="微软雅黑"/>
                <w:sz w:val="24"/>
              </w:rPr>
              <w:t>喷淋</w:t>
            </w:r>
          </w:p>
        </w:tc>
        <w:tc>
          <w:tcPr>
            <w:tcW w:w="1361" w:type="dxa"/>
            <w:vAlign w:val="center"/>
          </w:tcPr>
          <w:p w14:paraId="21DE7774">
            <w:pPr>
              <w:spacing w:line="400" w:lineRule="exact"/>
              <w:jc w:val="center"/>
              <w:rPr>
                <w:rFonts w:ascii="微软雅黑" w:hAnsi="微软雅黑" w:eastAsia="微软雅黑"/>
                <w:sz w:val="24"/>
              </w:rPr>
            </w:pPr>
            <w:r>
              <w:rPr>
                <w:rFonts w:hint="eastAsia" w:ascii="微软雅黑" w:hAnsi="微软雅黑" w:eastAsia="微软雅黑"/>
                <w:sz w:val="24"/>
              </w:rPr>
              <w:t>30</w:t>
            </w:r>
          </w:p>
        </w:tc>
        <w:tc>
          <w:tcPr>
            <w:tcW w:w="1417" w:type="dxa"/>
            <w:vAlign w:val="center"/>
          </w:tcPr>
          <w:p w14:paraId="6E996E49">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0F28DBDC">
            <w:pPr>
              <w:spacing w:line="400" w:lineRule="exact"/>
              <w:jc w:val="center"/>
              <w:rPr>
                <w:rFonts w:ascii="微软雅黑" w:hAnsi="微软雅黑" w:eastAsia="微软雅黑"/>
                <w:sz w:val="24"/>
              </w:rPr>
            </w:pPr>
            <w:r>
              <w:rPr>
                <w:rFonts w:hint="eastAsia" w:ascii="微软雅黑" w:hAnsi="微软雅黑" w:eastAsia="微软雅黑"/>
                <w:sz w:val="24"/>
                <w:lang w:val="en-US" w:eastAsia="zh-CN"/>
              </w:rPr>
              <w:t>增加过滤网、溢流</w:t>
            </w:r>
          </w:p>
        </w:tc>
      </w:tr>
      <w:tr w14:paraId="604227E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3A730EB9">
            <w:pPr>
              <w:spacing w:line="400" w:lineRule="exact"/>
              <w:jc w:val="center"/>
              <w:rPr>
                <w:rFonts w:ascii="微软雅黑" w:hAnsi="微软雅黑" w:eastAsia="微软雅黑"/>
                <w:sz w:val="24"/>
              </w:rPr>
            </w:pPr>
            <w:r>
              <w:rPr>
                <w:rFonts w:hint="eastAsia" w:ascii="微软雅黑" w:hAnsi="微软雅黑" w:eastAsia="微软雅黑"/>
                <w:sz w:val="24"/>
              </w:rPr>
              <w:t>9</w:t>
            </w:r>
          </w:p>
        </w:tc>
        <w:tc>
          <w:tcPr>
            <w:tcW w:w="1247" w:type="dxa"/>
            <w:vAlign w:val="center"/>
          </w:tcPr>
          <w:p w14:paraId="6B08AB97">
            <w:pPr>
              <w:spacing w:line="400" w:lineRule="exact"/>
              <w:jc w:val="center"/>
              <w:rPr>
                <w:rFonts w:hint="default" w:ascii="微软雅黑" w:hAnsi="微软雅黑" w:eastAsia="微软雅黑"/>
                <w:sz w:val="24"/>
                <w:lang w:val="en-US"/>
              </w:rPr>
            </w:pPr>
            <w:r>
              <w:rPr>
                <w:rFonts w:hint="eastAsia" w:ascii="微软雅黑" w:hAnsi="微软雅黑" w:eastAsia="微软雅黑"/>
                <w:sz w:val="24"/>
              </w:rPr>
              <w:t>水</w:t>
            </w:r>
            <w:r>
              <w:rPr>
                <w:rFonts w:hint="eastAsia" w:ascii="微软雅黑" w:hAnsi="微软雅黑" w:eastAsia="微软雅黑"/>
                <w:sz w:val="24"/>
                <w:lang w:val="en-US" w:eastAsia="zh-CN"/>
              </w:rPr>
              <w:t>洗4</w:t>
            </w:r>
          </w:p>
        </w:tc>
        <w:tc>
          <w:tcPr>
            <w:tcW w:w="1701" w:type="dxa"/>
            <w:vAlign w:val="center"/>
          </w:tcPr>
          <w:p w14:paraId="46ABBEA2">
            <w:pPr>
              <w:spacing w:line="400" w:lineRule="exact"/>
              <w:jc w:val="center"/>
              <w:rPr>
                <w:rFonts w:ascii="微软雅黑" w:hAnsi="微软雅黑" w:eastAsia="微软雅黑"/>
                <w:sz w:val="24"/>
              </w:rPr>
            </w:pPr>
            <w:r>
              <w:rPr>
                <w:rFonts w:hint="eastAsia" w:ascii="微软雅黑" w:hAnsi="微软雅黑" w:eastAsia="微软雅黑"/>
                <w:sz w:val="24"/>
              </w:rPr>
              <w:t>喷淋</w:t>
            </w:r>
          </w:p>
        </w:tc>
        <w:tc>
          <w:tcPr>
            <w:tcW w:w="1361" w:type="dxa"/>
            <w:vAlign w:val="center"/>
          </w:tcPr>
          <w:p w14:paraId="45BD3394">
            <w:pPr>
              <w:spacing w:line="400" w:lineRule="exact"/>
              <w:jc w:val="center"/>
              <w:rPr>
                <w:rFonts w:ascii="微软雅黑" w:hAnsi="微软雅黑" w:eastAsia="微软雅黑"/>
                <w:sz w:val="24"/>
              </w:rPr>
            </w:pPr>
            <w:r>
              <w:rPr>
                <w:rFonts w:hint="eastAsia" w:ascii="微软雅黑" w:hAnsi="微软雅黑" w:eastAsia="微软雅黑"/>
                <w:sz w:val="24"/>
              </w:rPr>
              <w:t>30</w:t>
            </w:r>
          </w:p>
        </w:tc>
        <w:tc>
          <w:tcPr>
            <w:tcW w:w="1417" w:type="dxa"/>
            <w:vAlign w:val="center"/>
          </w:tcPr>
          <w:p w14:paraId="06708FBB">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2746C00B">
            <w:pPr>
              <w:spacing w:line="400" w:lineRule="exact"/>
              <w:jc w:val="center"/>
              <w:rPr>
                <w:rFonts w:hint="default" w:ascii="微软雅黑" w:hAnsi="微软雅黑" w:eastAsia="微软雅黑"/>
                <w:sz w:val="24"/>
                <w:lang w:val="en-US"/>
              </w:rPr>
            </w:pPr>
            <w:r>
              <w:rPr>
                <w:rFonts w:hint="eastAsia" w:ascii="微软雅黑" w:hAnsi="微软雅黑" w:eastAsia="微软雅黑"/>
                <w:sz w:val="24"/>
                <w:lang w:val="en-US" w:eastAsia="zh-CN"/>
              </w:rPr>
              <w:t>增加过滤网、溢流至水洗3</w:t>
            </w:r>
          </w:p>
        </w:tc>
      </w:tr>
      <w:tr w14:paraId="5CFC71C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6502CFAB">
            <w:pPr>
              <w:spacing w:line="400" w:lineRule="exact"/>
              <w:jc w:val="center"/>
              <w:rPr>
                <w:rFonts w:ascii="微软雅黑" w:hAnsi="微软雅黑" w:eastAsia="微软雅黑"/>
                <w:sz w:val="24"/>
              </w:rPr>
            </w:pPr>
            <w:r>
              <w:rPr>
                <w:rFonts w:hint="eastAsia" w:ascii="微软雅黑" w:hAnsi="微软雅黑" w:eastAsia="微软雅黑"/>
                <w:sz w:val="24"/>
              </w:rPr>
              <w:t>10</w:t>
            </w:r>
          </w:p>
        </w:tc>
        <w:tc>
          <w:tcPr>
            <w:tcW w:w="1247" w:type="dxa"/>
            <w:vAlign w:val="center"/>
          </w:tcPr>
          <w:p w14:paraId="37E5B6C7">
            <w:pPr>
              <w:spacing w:line="400" w:lineRule="exact"/>
              <w:jc w:val="center"/>
              <w:rPr>
                <w:rFonts w:ascii="微软雅黑" w:hAnsi="微软雅黑" w:eastAsia="微软雅黑"/>
                <w:sz w:val="24"/>
              </w:rPr>
            </w:pPr>
            <w:r>
              <w:rPr>
                <w:rFonts w:hint="eastAsia" w:ascii="微软雅黑" w:hAnsi="微软雅黑" w:eastAsia="微软雅黑"/>
                <w:sz w:val="24"/>
              </w:rPr>
              <w:t>纯水直喷</w:t>
            </w:r>
          </w:p>
        </w:tc>
        <w:tc>
          <w:tcPr>
            <w:tcW w:w="1701" w:type="dxa"/>
            <w:vAlign w:val="center"/>
          </w:tcPr>
          <w:p w14:paraId="02A1BA1A">
            <w:pPr>
              <w:spacing w:line="400" w:lineRule="exact"/>
              <w:jc w:val="center"/>
              <w:rPr>
                <w:rFonts w:ascii="微软雅黑" w:hAnsi="微软雅黑" w:eastAsia="微软雅黑"/>
                <w:sz w:val="24"/>
              </w:rPr>
            </w:pPr>
            <w:r>
              <w:rPr>
                <w:rFonts w:hint="eastAsia" w:ascii="微软雅黑" w:hAnsi="微软雅黑" w:eastAsia="微软雅黑"/>
                <w:sz w:val="24"/>
              </w:rPr>
              <w:t>喷淋</w:t>
            </w:r>
          </w:p>
        </w:tc>
        <w:tc>
          <w:tcPr>
            <w:tcW w:w="1361" w:type="dxa"/>
            <w:vAlign w:val="center"/>
          </w:tcPr>
          <w:p w14:paraId="116D27B4">
            <w:pPr>
              <w:spacing w:line="400" w:lineRule="exact"/>
              <w:jc w:val="center"/>
              <w:rPr>
                <w:rFonts w:ascii="微软雅黑" w:hAnsi="微软雅黑" w:eastAsia="微软雅黑"/>
                <w:sz w:val="24"/>
              </w:rPr>
            </w:pPr>
            <w:r>
              <w:rPr>
                <w:rFonts w:ascii="微软雅黑" w:hAnsi="微软雅黑" w:eastAsia="微软雅黑"/>
                <w:sz w:val="24"/>
              </w:rPr>
              <w:t>2</w:t>
            </w:r>
            <w:r>
              <w:rPr>
                <w:rFonts w:hint="eastAsia" w:ascii="微软雅黑" w:hAnsi="微软雅黑" w:eastAsia="微软雅黑"/>
                <w:sz w:val="24"/>
              </w:rPr>
              <w:t>环</w:t>
            </w:r>
          </w:p>
        </w:tc>
        <w:tc>
          <w:tcPr>
            <w:tcW w:w="1417" w:type="dxa"/>
            <w:vAlign w:val="center"/>
          </w:tcPr>
          <w:p w14:paraId="2398D6F9">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397BC9E0">
            <w:pPr>
              <w:spacing w:line="400" w:lineRule="exact"/>
              <w:jc w:val="center"/>
              <w:rPr>
                <w:rFonts w:hint="default" w:ascii="微软雅黑" w:hAnsi="微软雅黑" w:eastAsia="微软雅黑"/>
                <w:sz w:val="24"/>
                <w:lang w:val="en-US"/>
              </w:rPr>
            </w:pPr>
            <w:r>
              <w:rPr>
                <w:rFonts w:hint="eastAsia" w:ascii="微软雅黑" w:hAnsi="微软雅黑" w:eastAsia="微软雅黑"/>
                <w:sz w:val="24"/>
                <w:lang w:val="en-US" w:eastAsia="zh-CN"/>
              </w:rPr>
              <w:t>增加过滤网、溢流至水洗4</w:t>
            </w:r>
          </w:p>
        </w:tc>
      </w:tr>
      <w:tr w14:paraId="74126A2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5BA61CEF">
            <w:pPr>
              <w:spacing w:line="400" w:lineRule="exact"/>
              <w:jc w:val="center"/>
              <w:rPr>
                <w:rFonts w:ascii="微软雅黑" w:hAnsi="微软雅黑" w:eastAsia="微软雅黑"/>
                <w:sz w:val="24"/>
              </w:rPr>
            </w:pPr>
            <w:r>
              <w:rPr>
                <w:rFonts w:hint="eastAsia" w:ascii="微软雅黑" w:hAnsi="微软雅黑" w:eastAsia="微软雅黑"/>
                <w:sz w:val="24"/>
              </w:rPr>
              <w:t>11</w:t>
            </w:r>
          </w:p>
        </w:tc>
        <w:tc>
          <w:tcPr>
            <w:tcW w:w="1247" w:type="dxa"/>
            <w:vAlign w:val="center"/>
          </w:tcPr>
          <w:p w14:paraId="0EB0F2C4">
            <w:pPr>
              <w:spacing w:line="400" w:lineRule="exact"/>
              <w:jc w:val="center"/>
              <w:rPr>
                <w:rFonts w:ascii="微软雅黑" w:hAnsi="微软雅黑" w:eastAsia="微软雅黑"/>
                <w:sz w:val="24"/>
              </w:rPr>
            </w:pPr>
            <w:r>
              <w:rPr>
                <w:rFonts w:hint="eastAsia" w:ascii="微软雅黑" w:hAnsi="微软雅黑" w:eastAsia="微软雅黑"/>
                <w:sz w:val="24"/>
              </w:rPr>
              <w:t>滴水</w:t>
            </w:r>
          </w:p>
        </w:tc>
        <w:tc>
          <w:tcPr>
            <w:tcW w:w="1701" w:type="dxa"/>
            <w:vAlign w:val="center"/>
          </w:tcPr>
          <w:p w14:paraId="355DF8EF">
            <w:pPr>
              <w:spacing w:line="400" w:lineRule="exact"/>
              <w:jc w:val="center"/>
              <w:rPr>
                <w:rFonts w:ascii="微软雅黑" w:hAnsi="微软雅黑" w:eastAsia="微软雅黑"/>
                <w:sz w:val="24"/>
              </w:rPr>
            </w:pPr>
            <w:r>
              <w:rPr>
                <w:rFonts w:hint="eastAsia" w:ascii="微软雅黑" w:hAnsi="微软雅黑" w:eastAsia="微软雅黑"/>
                <w:sz w:val="24"/>
              </w:rPr>
              <w:t>/</w:t>
            </w:r>
          </w:p>
        </w:tc>
        <w:tc>
          <w:tcPr>
            <w:tcW w:w="1361" w:type="dxa"/>
            <w:vAlign w:val="center"/>
          </w:tcPr>
          <w:p w14:paraId="7123B759">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360</w:t>
            </w:r>
          </w:p>
        </w:tc>
        <w:tc>
          <w:tcPr>
            <w:tcW w:w="1417" w:type="dxa"/>
            <w:vAlign w:val="center"/>
          </w:tcPr>
          <w:p w14:paraId="023DB8F6">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14ED70F0">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增加吹水装置，独立控制4个位置</w:t>
            </w:r>
          </w:p>
        </w:tc>
      </w:tr>
      <w:tr w14:paraId="1E3D6CF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018019AB">
            <w:pPr>
              <w:spacing w:line="400" w:lineRule="exact"/>
              <w:jc w:val="center"/>
              <w:rPr>
                <w:rFonts w:ascii="微软雅黑" w:hAnsi="微软雅黑" w:eastAsia="微软雅黑"/>
                <w:sz w:val="24"/>
              </w:rPr>
            </w:pPr>
            <w:r>
              <w:rPr>
                <w:rFonts w:hint="eastAsia" w:ascii="微软雅黑" w:hAnsi="微软雅黑" w:eastAsia="微软雅黑"/>
                <w:sz w:val="24"/>
              </w:rPr>
              <w:t>12</w:t>
            </w:r>
          </w:p>
        </w:tc>
        <w:tc>
          <w:tcPr>
            <w:tcW w:w="1247" w:type="dxa"/>
            <w:vAlign w:val="center"/>
          </w:tcPr>
          <w:p w14:paraId="2A655604">
            <w:pPr>
              <w:spacing w:line="400" w:lineRule="exact"/>
              <w:jc w:val="center"/>
              <w:rPr>
                <w:rFonts w:ascii="微软雅黑" w:hAnsi="微软雅黑" w:eastAsia="微软雅黑"/>
                <w:sz w:val="24"/>
              </w:rPr>
            </w:pPr>
            <w:r>
              <w:rPr>
                <w:rFonts w:hint="eastAsia" w:ascii="微软雅黑" w:hAnsi="微软雅黑" w:eastAsia="微软雅黑"/>
                <w:sz w:val="24"/>
              </w:rPr>
              <w:t>水分烘干</w:t>
            </w:r>
          </w:p>
        </w:tc>
        <w:tc>
          <w:tcPr>
            <w:tcW w:w="1701" w:type="dxa"/>
            <w:vAlign w:val="center"/>
          </w:tcPr>
          <w:p w14:paraId="0CA1A755">
            <w:pPr>
              <w:spacing w:line="400" w:lineRule="exact"/>
              <w:jc w:val="center"/>
              <w:rPr>
                <w:rFonts w:ascii="微软雅黑" w:hAnsi="微软雅黑" w:eastAsia="微软雅黑"/>
                <w:sz w:val="24"/>
              </w:rPr>
            </w:pPr>
            <w:r>
              <w:rPr>
                <w:rFonts w:hint="eastAsia" w:ascii="微软雅黑" w:hAnsi="微软雅黑" w:eastAsia="微软雅黑"/>
                <w:sz w:val="24"/>
              </w:rPr>
              <w:t>热风循环系统</w:t>
            </w:r>
          </w:p>
        </w:tc>
        <w:tc>
          <w:tcPr>
            <w:tcW w:w="1361" w:type="dxa"/>
            <w:vAlign w:val="center"/>
          </w:tcPr>
          <w:p w14:paraId="309D189F">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600</w:t>
            </w:r>
          </w:p>
        </w:tc>
        <w:tc>
          <w:tcPr>
            <w:tcW w:w="1417" w:type="dxa"/>
            <w:vAlign w:val="center"/>
          </w:tcPr>
          <w:p w14:paraId="15C65874">
            <w:pPr>
              <w:spacing w:line="400" w:lineRule="exact"/>
              <w:jc w:val="center"/>
              <w:rPr>
                <w:rFonts w:ascii="微软雅黑" w:hAnsi="微软雅黑" w:eastAsia="微软雅黑"/>
                <w:sz w:val="24"/>
              </w:rPr>
            </w:pPr>
            <w:r>
              <w:rPr>
                <w:rFonts w:hint="eastAsia" w:ascii="微软雅黑" w:hAnsi="微软雅黑" w:eastAsia="微软雅黑"/>
                <w:sz w:val="24"/>
              </w:rPr>
              <w:t>120-1</w:t>
            </w:r>
            <w:r>
              <w:rPr>
                <w:rFonts w:hint="eastAsia" w:ascii="微软雅黑" w:hAnsi="微软雅黑" w:eastAsia="微软雅黑"/>
                <w:sz w:val="24"/>
                <w:lang w:val="en-US" w:eastAsia="zh-CN"/>
              </w:rPr>
              <w:t>8</w:t>
            </w:r>
            <w:r>
              <w:rPr>
                <w:rFonts w:hint="eastAsia" w:ascii="微软雅黑" w:hAnsi="微软雅黑" w:eastAsia="微软雅黑"/>
                <w:sz w:val="24"/>
              </w:rPr>
              <w:t>0℃</w:t>
            </w:r>
          </w:p>
        </w:tc>
        <w:tc>
          <w:tcPr>
            <w:tcW w:w="3118" w:type="dxa"/>
            <w:vAlign w:val="center"/>
          </w:tcPr>
          <w:p w14:paraId="753C1D50">
            <w:pPr>
              <w:spacing w:line="400" w:lineRule="exact"/>
              <w:jc w:val="center"/>
              <w:rPr>
                <w:rFonts w:ascii="微软雅黑" w:hAnsi="微软雅黑" w:eastAsia="微软雅黑"/>
                <w:sz w:val="24"/>
              </w:rPr>
            </w:pPr>
            <w:r>
              <w:rPr>
                <w:rFonts w:hint="eastAsia" w:ascii="微软雅黑" w:hAnsi="微软雅黑" w:eastAsia="微软雅黑"/>
                <w:sz w:val="24"/>
                <w:lang w:val="en-US" w:eastAsia="zh-CN"/>
              </w:rPr>
              <w:t>温度可调、天燃气、</w:t>
            </w:r>
            <w:r>
              <w:rPr>
                <w:rFonts w:ascii="微软雅黑" w:hAnsi="微软雅黑" w:eastAsia="微软雅黑"/>
                <w:sz w:val="24"/>
              </w:rPr>
              <w:t>40</w:t>
            </w:r>
            <w:r>
              <w:rPr>
                <w:rFonts w:hint="eastAsia" w:ascii="微软雅黑" w:hAnsi="微软雅黑" w:eastAsia="微软雅黑"/>
                <w:sz w:val="24"/>
              </w:rPr>
              <w:t>万大卡</w:t>
            </w:r>
          </w:p>
        </w:tc>
      </w:tr>
      <w:tr w14:paraId="5FCB138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358A8C10">
            <w:pPr>
              <w:spacing w:line="400" w:lineRule="exact"/>
              <w:jc w:val="center"/>
              <w:rPr>
                <w:rFonts w:ascii="微软雅黑" w:hAnsi="微软雅黑" w:eastAsia="微软雅黑"/>
                <w:sz w:val="24"/>
              </w:rPr>
            </w:pPr>
            <w:r>
              <w:rPr>
                <w:rFonts w:hint="eastAsia" w:ascii="微软雅黑" w:hAnsi="微软雅黑" w:eastAsia="微软雅黑"/>
                <w:sz w:val="24"/>
              </w:rPr>
              <w:t>13</w:t>
            </w:r>
          </w:p>
        </w:tc>
        <w:tc>
          <w:tcPr>
            <w:tcW w:w="1247" w:type="dxa"/>
            <w:vAlign w:val="center"/>
          </w:tcPr>
          <w:p w14:paraId="1F2C021A">
            <w:pPr>
              <w:spacing w:line="400" w:lineRule="exact"/>
              <w:jc w:val="center"/>
              <w:rPr>
                <w:rFonts w:ascii="微软雅黑" w:hAnsi="微软雅黑" w:eastAsia="微软雅黑"/>
                <w:sz w:val="24"/>
              </w:rPr>
            </w:pPr>
            <w:r>
              <w:rPr>
                <w:rFonts w:hint="eastAsia" w:ascii="微软雅黑" w:hAnsi="微软雅黑" w:eastAsia="微软雅黑"/>
                <w:sz w:val="24"/>
              </w:rPr>
              <w:t>自然冷却</w:t>
            </w:r>
          </w:p>
        </w:tc>
        <w:tc>
          <w:tcPr>
            <w:tcW w:w="1701" w:type="dxa"/>
            <w:vAlign w:val="center"/>
          </w:tcPr>
          <w:p w14:paraId="76597370">
            <w:pPr>
              <w:spacing w:line="400" w:lineRule="exact"/>
              <w:jc w:val="center"/>
              <w:rPr>
                <w:rFonts w:ascii="微软雅黑" w:hAnsi="微软雅黑" w:eastAsia="微软雅黑"/>
                <w:sz w:val="24"/>
              </w:rPr>
            </w:pPr>
            <w:r>
              <w:rPr>
                <w:rFonts w:hint="eastAsia" w:ascii="微软雅黑" w:hAnsi="微软雅黑" w:eastAsia="微软雅黑"/>
                <w:sz w:val="24"/>
              </w:rPr>
              <w:t>/</w:t>
            </w:r>
          </w:p>
        </w:tc>
        <w:tc>
          <w:tcPr>
            <w:tcW w:w="1361" w:type="dxa"/>
            <w:vAlign w:val="center"/>
          </w:tcPr>
          <w:p w14:paraId="60AE8147">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360</w:t>
            </w:r>
          </w:p>
        </w:tc>
        <w:tc>
          <w:tcPr>
            <w:tcW w:w="1417" w:type="dxa"/>
            <w:vAlign w:val="center"/>
          </w:tcPr>
          <w:p w14:paraId="21A268B8">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6E983235">
            <w:pPr>
              <w:spacing w:line="400" w:lineRule="exact"/>
              <w:jc w:val="center"/>
              <w:rPr>
                <w:rFonts w:ascii="微软雅黑" w:hAnsi="微软雅黑" w:eastAsia="微软雅黑"/>
                <w:sz w:val="24"/>
              </w:rPr>
            </w:pPr>
          </w:p>
        </w:tc>
      </w:tr>
      <w:tr w14:paraId="412C8F2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0CB876F6">
            <w:pPr>
              <w:spacing w:line="400" w:lineRule="exact"/>
              <w:jc w:val="center"/>
              <w:rPr>
                <w:rFonts w:ascii="微软雅黑" w:hAnsi="微软雅黑" w:eastAsia="微软雅黑"/>
                <w:sz w:val="24"/>
              </w:rPr>
            </w:pPr>
            <w:r>
              <w:rPr>
                <w:rFonts w:hint="eastAsia" w:ascii="微软雅黑" w:hAnsi="微软雅黑" w:eastAsia="微软雅黑"/>
                <w:sz w:val="24"/>
              </w:rPr>
              <w:t>14</w:t>
            </w:r>
          </w:p>
        </w:tc>
        <w:tc>
          <w:tcPr>
            <w:tcW w:w="1247" w:type="dxa"/>
            <w:vAlign w:val="center"/>
          </w:tcPr>
          <w:p w14:paraId="1BB88433">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sz w:val="24"/>
              </w:rPr>
              <w:t>喷粉</w:t>
            </w:r>
            <w:r>
              <w:rPr>
                <w:rFonts w:hint="eastAsia" w:ascii="微软雅黑" w:hAnsi="微软雅黑" w:eastAsia="微软雅黑"/>
                <w:sz w:val="24"/>
                <w:lang w:val="en-US" w:eastAsia="zh-CN"/>
              </w:rPr>
              <w:t>2个</w:t>
            </w:r>
          </w:p>
        </w:tc>
        <w:tc>
          <w:tcPr>
            <w:tcW w:w="1701" w:type="dxa"/>
            <w:vAlign w:val="center"/>
          </w:tcPr>
          <w:p w14:paraId="10B46149">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每个</w:t>
            </w:r>
            <w:r>
              <w:rPr>
                <w:rFonts w:hint="eastAsia" w:ascii="微软雅黑" w:hAnsi="微软雅黑" w:eastAsia="微软雅黑"/>
                <w:sz w:val="24"/>
              </w:rPr>
              <w:t>自动+手补</w:t>
            </w:r>
            <w:r>
              <w:rPr>
                <w:rFonts w:hint="eastAsia" w:ascii="微软雅黑" w:hAnsi="微软雅黑" w:eastAsia="微软雅黑"/>
                <w:sz w:val="24"/>
                <w:lang w:eastAsia="zh-CN"/>
              </w:rPr>
              <w:t>（</w:t>
            </w:r>
            <w:r>
              <w:rPr>
                <w:rFonts w:hint="eastAsia" w:ascii="微软雅黑" w:hAnsi="微软雅黑" w:eastAsia="微软雅黑"/>
                <w:sz w:val="24"/>
                <w:lang w:val="en-US" w:eastAsia="zh-CN"/>
              </w:rPr>
              <w:t>4个位错开）</w:t>
            </w:r>
          </w:p>
        </w:tc>
        <w:tc>
          <w:tcPr>
            <w:tcW w:w="1361" w:type="dxa"/>
            <w:vAlign w:val="center"/>
          </w:tcPr>
          <w:p w14:paraId="7304EF4E">
            <w:pPr>
              <w:spacing w:line="400" w:lineRule="exact"/>
              <w:jc w:val="center"/>
              <w:rPr>
                <w:rFonts w:ascii="微软雅黑" w:hAnsi="微软雅黑" w:eastAsia="微软雅黑"/>
                <w:sz w:val="24"/>
              </w:rPr>
            </w:pPr>
            <w:r>
              <w:rPr>
                <w:rFonts w:hint="eastAsia" w:ascii="微软雅黑" w:hAnsi="微软雅黑" w:eastAsia="微软雅黑"/>
                <w:sz w:val="24"/>
              </w:rPr>
              <w:t>/</w:t>
            </w:r>
          </w:p>
        </w:tc>
        <w:tc>
          <w:tcPr>
            <w:tcW w:w="1417" w:type="dxa"/>
            <w:vAlign w:val="center"/>
          </w:tcPr>
          <w:p w14:paraId="1F5D6F9C">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5E8F7947">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cs="Times New Roman"/>
                <w:sz w:val="24"/>
              </w:rPr>
              <w:t>大旋风</w:t>
            </w:r>
            <w:r>
              <w:rPr>
                <w:rFonts w:hint="eastAsia" w:ascii="微软雅黑" w:hAnsi="微软雅黑" w:eastAsia="微软雅黑" w:cs="Times New Roman"/>
                <w:sz w:val="24"/>
                <w:lang w:val="en-US" w:eastAsia="zh-CN"/>
              </w:rPr>
              <w:t>回收系统</w:t>
            </w:r>
          </w:p>
        </w:tc>
      </w:tr>
      <w:tr w14:paraId="6349EE6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657DB140">
            <w:pPr>
              <w:spacing w:line="400" w:lineRule="exact"/>
              <w:jc w:val="center"/>
              <w:rPr>
                <w:rFonts w:ascii="微软雅黑" w:hAnsi="微软雅黑" w:eastAsia="微软雅黑"/>
                <w:sz w:val="24"/>
              </w:rPr>
            </w:pPr>
            <w:r>
              <w:rPr>
                <w:rFonts w:hint="eastAsia" w:ascii="微软雅黑" w:hAnsi="微软雅黑" w:eastAsia="微软雅黑"/>
                <w:sz w:val="24"/>
              </w:rPr>
              <w:t>15</w:t>
            </w:r>
          </w:p>
        </w:tc>
        <w:tc>
          <w:tcPr>
            <w:tcW w:w="1247" w:type="dxa"/>
            <w:vAlign w:val="center"/>
          </w:tcPr>
          <w:p w14:paraId="2205C06A">
            <w:pPr>
              <w:spacing w:line="400" w:lineRule="exact"/>
              <w:jc w:val="center"/>
              <w:rPr>
                <w:rFonts w:ascii="微软雅黑" w:hAnsi="微软雅黑" w:eastAsia="微软雅黑"/>
                <w:sz w:val="24"/>
              </w:rPr>
            </w:pPr>
            <w:r>
              <w:rPr>
                <w:rFonts w:hint="eastAsia" w:ascii="微软雅黑" w:hAnsi="微软雅黑" w:eastAsia="微软雅黑"/>
                <w:sz w:val="24"/>
              </w:rPr>
              <w:t>粉末固化</w:t>
            </w:r>
          </w:p>
        </w:tc>
        <w:tc>
          <w:tcPr>
            <w:tcW w:w="1701" w:type="dxa"/>
            <w:vAlign w:val="center"/>
          </w:tcPr>
          <w:p w14:paraId="51B36604">
            <w:pPr>
              <w:spacing w:line="400" w:lineRule="exact"/>
              <w:jc w:val="center"/>
              <w:rPr>
                <w:rFonts w:ascii="微软雅黑" w:hAnsi="微软雅黑" w:eastAsia="微软雅黑"/>
                <w:sz w:val="24"/>
              </w:rPr>
            </w:pPr>
            <w:r>
              <w:rPr>
                <w:rFonts w:hint="eastAsia" w:ascii="微软雅黑" w:hAnsi="微软雅黑" w:eastAsia="微软雅黑"/>
                <w:sz w:val="24"/>
              </w:rPr>
              <w:t>热风循环系统</w:t>
            </w:r>
          </w:p>
        </w:tc>
        <w:tc>
          <w:tcPr>
            <w:tcW w:w="1361" w:type="dxa"/>
            <w:vAlign w:val="center"/>
          </w:tcPr>
          <w:p w14:paraId="6A5D9A8A">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1200</w:t>
            </w:r>
          </w:p>
        </w:tc>
        <w:tc>
          <w:tcPr>
            <w:tcW w:w="1417" w:type="dxa"/>
            <w:vAlign w:val="center"/>
          </w:tcPr>
          <w:p w14:paraId="23FEA056">
            <w:pPr>
              <w:spacing w:line="400" w:lineRule="exact"/>
              <w:jc w:val="center"/>
              <w:rPr>
                <w:rFonts w:ascii="微软雅黑" w:hAnsi="微软雅黑" w:eastAsia="微软雅黑"/>
                <w:sz w:val="24"/>
              </w:rPr>
            </w:pPr>
            <w:r>
              <w:rPr>
                <w:rFonts w:hint="eastAsia" w:ascii="微软雅黑" w:hAnsi="微软雅黑" w:eastAsia="微软雅黑"/>
                <w:sz w:val="24"/>
              </w:rPr>
              <w:t>180-2</w:t>
            </w:r>
            <w:r>
              <w:rPr>
                <w:rFonts w:hint="eastAsia" w:ascii="微软雅黑" w:hAnsi="微软雅黑" w:eastAsia="微软雅黑"/>
                <w:sz w:val="24"/>
                <w:lang w:val="en-US" w:eastAsia="zh-CN"/>
              </w:rPr>
              <w:t>3</w:t>
            </w:r>
            <w:r>
              <w:rPr>
                <w:rFonts w:hint="eastAsia" w:ascii="微软雅黑" w:hAnsi="微软雅黑" w:eastAsia="微软雅黑"/>
                <w:sz w:val="24"/>
              </w:rPr>
              <w:t>0℃</w:t>
            </w:r>
          </w:p>
        </w:tc>
        <w:tc>
          <w:tcPr>
            <w:tcW w:w="3118" w:type="dxa"/>
            <w:vAlign w:val="center"/>
          </w:tcPr>
          <w:p w14:paraId="7A59D4E9">
            <w:pPr>
              <w:spacing w:line="400" w:lineRule="exact"/>
              <w:jc w:val="center"/>
              <w:rPr>
                <w:rFonts w:ascii="微软雅黑" w:hAnsi="微软雅黑" w:eastAsia="微软雅黑"/>
                <w:sz w:val="24"/>
              </w:rPr>
            </w:pPr>
            <w:r>
              <w:rPr>
                <w:rFonts w:hint="eastAsia" w:ascii="微软雅黑" w:hAnsi="微软雅黑" w:eastAsia="微软雅黑"/>
                <w:sz w:val="24"/>
                <w:lang w:val="en-US" w:eastAsia="zh-CN"/>
              </w:rPr>
              <w:t>温度可调、天燃气、</w:t>
            </w:r>
            <w:r>
              <w:rPr>
                <w:rFonts w:ascii="微软雅黑" w:hAnsi="微软雅黑" w:eastAsia="微软雅黑"/>
                <w:sz w:val="24"/>
              </w:rPr>
              <w:t>50</w:t>
            </w:r>
            <w:r>
              <w:rPr>
                <w:rFonts w:hint="eastAsia" w:ascii="微软雅黑" w:hAnsi="微软雅黑" w:eastAsia="微软雅黑"/>
                <w:sz w:val="24"/>
              </w:rPr>
              <w:t>万大卡×</w:t>
            </w:r>
            <w:r>
              <w:rPr>
                <w:rFonts w:ascii="微软雅黑" w:hAnsi="微软雅黑" w:eastAsia="微软雅黑"/>
                <w:sz w:val="24"/>
              </w:rPr>
              <w:t>2</w:t>
            </w:r>
            <w:r>
              <w:rPr>
                <w:rFonts w:hint="eastAsia" w:ascii="微软雅黑" w:hAnsi="微软雅黑" w:eastAsia="微软雅黑"/>
                <w:sz w:val="24"/>
              </w:rPr>
              <w:t>套</w:t>
            </w:r>
          </w:p>
        </w:tc>
      </w:tr>
      <w:tr w14:paraId="1279429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264B8D5B">
            <w:pPr>
              <w:spacing w:line="400" w:lineRule="exact"/>
              <w:jc w:val="center"/>
              <w:rPr>
                <w:rFonts w:ascii="微软雅黑" w:hAnsi="微软雅黑" w:eastAsia="微软雅黑"/>
                <w:sz w:val="24"/>
              </w:rPr>
            </w:pPr>
            <w:r>
              <w:rPr>
                <w:rFonts w:hint="eastAsia" w:ascii="微软雅黑" w:hAnsi="微软雅黑" w:eastAsia="微软雅黑"/>
                <w:sz w:val="24"/>
              </w:rPr>
              <w:t>16</w:t>
            </w:r>
          </w:p>
        </w:tc>
        <w:tc>
          <w:tcPr>
            <w:tcW w:w="1247" w:type="dxa"/>
            <w:vAlign w:val="center"/>
          </w:tcPr>
          <w:p w14:paraId="3B7AAEC8">
            <w:pPr>
              <w:spacing w:line="400" w:lineRule="exact"/>
              <w:jc w:val="center"/>
              <w:rPr>
                <w:rFonts w:ascii="微软雅黑" w:hAnsi="微软雅黑" w:eastAsia="微软雅黑"/>
                <w:sz w:val="24"/>
              </w:rPr>
            </w:pPr>
            <w:r>
              <w:rPr>
                <w:rFonts w:hint="eastAsia" w:ascii="微软雅黑" w:hAnsi="微软雅黑" w:eastAsia="微软雅黑"/>
                <w:sz w:val="24"/>
              </w:rPr>
              <w:t>自然冷却</w:t>
            </w:r>
          </w:p>
        </w:tc>
        <w:tc>
          <w:tcPr>
            <w:tcW w:w="1701" w:type="dxa"/>
            <w:vAlign w:val="center"/>
          </w:tcPr>
          <w:p w14:paraId="6C8FF683">
            <w:pPr>
              <w:spacing w:line="400" w:lineRule="exact"/>
              <w:jc w:val="center"/>
              <w:rPr>
                <w:rFonts w:ascii="微软雅黑" w:hAnsi="微软雅黑" w:eastAsia="微软雅黑"/>
                <w:sz w:val="24"/>
              </w:rPr>
            </w:pPr>
            <w:r>
              <w:rPr>
                <w:rFonts w:hint="eastAsia" w:ascii="微软雅黑" w:hAnsi="微软雅黑" w:eastAsia="微软雅黑"/>
                <w:sz w:val="24"/>
              </w:rPr>
              <w:t>/</w:t>
            </w:r>
          </w:p>
        </w:tc>
        <w:tc>
          <w:tcPr>
            <w:tcW w:w="1361" w:type="dxa"/>
            <w:vAlign w:val="center"/>
          </w:tcPr>
          <w:p w14:paraId="69F0E0D8">
            <w:pPr>
              <w:spacing w:line="400" w:lineRule="exact"/>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480</w:t>
            </w:r>
          </w:p>
        </w:tc>
        <w:tc>
          <w:tcPr>
            <w:tcW w:w="1417" w:type="dxa"/>
            <w:vAlign w:val="center"/>
          </w:tcPr>
          <w:p w14:paraId="58EEB5FA">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58C82D28">
            <w:pPr>
              <w:spacing w:line="400" w:lineRule="exact"/>
              <w:jc w:val="center"/>
              <w:rPr>
                <w:rFonts w:ascii="微软雅黑" w:hAnsi="微软雅黑" w:eastAsia="微软雅黑"/>
                <w:sz w:val="24"/>
              </w:rPr>
            </w:pPr>
          </w:p>
        </w:tc>
      </w:tr>
      <w:tr w14:paraId="08F9516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37" w:type="dxa"/>
            <w:vAlign w:val="center"/>
          </w:tcPr>
          <w:p w14:paraId="50FCFD70">
            <w:pPr>
              <w:spacing w:line="400" w:lineRule="exact"/>
              <w:jc w:val="center"/>
              <w:rPr>
                <w:rFonts w:ascii="微软雅黑" w:hAnsi="微软雅黑" w:eastAsia="微软雅黑"/>
                <w:sz w:val="24"/>
              </w:rPr>
            </w:pPr>
            <w:r>
              <w:rPr>
                <w:rFonts w:hint="eastAsia" w:ascii="微软雅黑" w:hAnsi="微软雅黑" w:eastAsia="微软雅黑"/>
                <w:sz w:val="24"/>
              </w:rPr>
              <w:t>17</w:t>
            </w:r>
          </w:p>
        </w:tc>
        <w:tc>
          <w:tcPr>
            <w:tcW w:w="1247" w:type="dxa"/>
            <w:vAlign w:val="center"/>
          </w:tcPr>
          <w:p w14:paraId="14939652">
            <w:pPr>
              <w:spacing w:line="400" w:lineRule="exact"/>
              <w:jc w:val="center"/>
              <w:rPr>
                <w:rFonts w:ascii="微软雅黑" w:hAnsi="微软雅黑" w:eastAsia="微软雅黑"/>
                <w:sz w:val="24"/>
              </w:rPr>
            </w:pPr>
            <w:r>
              <w:rPr>
                <w:rFonts w:hint="eastAsia" w:ascii="微软雅黑" w:hAnsi="微软雅黑" w:eastAsia="微软雅黑"/>
                <w:sz w:val="24"/>
              </w:rPr>
              <w:t>下件</w:t>
            </w:r>
          </w:p>
        </w:tc>
        <w:tc>
          <w:tcPr>
            <w:tcW w:w="1701" w:type="dxa"/>
            <w:vAlign w:val="center"/>
          </w:tcPr>
          <w:p w14:paraId="7CFA7917">
            <w:pPr>
              <w:spacing w:line="400" w:lineRule="exact"/>
              <w:jc w:val="center"/>
              <w:rPr>
                <w:rFonts w:ascii="微软雅黑" w:hAnsi="微软雅黑" w:eastAsia="微软雅黑"/>
                <w:sz w:val="24"/>
              </w:rPr>
            </w:pPr>
            <w:r>
              <w:rPr>
                <w:rFonts w:hint="eastAsia" w:ascii="微软雅黑" w:hAnsi="微软雅黑" w:eastAsia="微软雅黑"/>
                <w:sz w:val="24"/>
              </w:rPr>
              <w:t>手动</w:t>
            </w:r>
          </w:p>
        </w:tc>
        <w:tc>
          <w:tcPr>
            <w:tcW w:w="1361" w:type="dxa"/>
            <w:vAlign w:val="center"/>
          </w:tcPr>
          <w:p w14:paraId="30045520">
            <w:pPr>
              <w:spacing w:line="400" w:lineRule="exact"/>
              <w:jc w:val="center"/>
              <w:rPr>
                <w:rFonts w:ascii="微软雅黑" w:hAnsi="微软雅黑" w:eastAsia="微软雅黑"/>
                <w:sz w:val="24"/>
              </w:rPr>
            </w:pPr>
            <w:r>
              <w:rPr>
                <w:rFonts w:hint="eastAsia" w:ascii="微软雅黑" w:hAnsi="微软雅黑" w:eastAsia="微软雅黑"/>
                <w:sz w:val="24"/>
              </w:rPr>
              <w:t>/</w:t>
            </w:r>
          </w:p>
        </w:tc>
        <w:tc>
          <w:tcPr>
            <w:tcW w:w="1417" w:type="dxa"/>
            <w:vAlign w:val="center"/>
          </w:tcPr>
          <w:p w14:paraId="31428A83">
            <w:pPr>
              <w:spacing w:line="400" w:lineRule="exact"/>
              <w:jc w:val="center"/>
              <w:rPr>
                <w:rFonts w:ascii="微软雅黑" w:hAnsi="微软雅黑" w:eastAsia="微软雅黑"/>
                <w:sz w:val="24"/>
              </w:rPr>
            </w:pPr>
            <w:r>
              <w:rPr>
                <w:rFonts w:hint="eastAsia" w:ascii="微软雅黑" w:hAnsi="微软雅黑" w:eastAsia="微软雅黑"/>
                <w:sz w:val="24"/>
              </w:rPr>
              <w:t>常温</w:t>
            </w:r>
          </w:p>
        </w:tc>
        <w:tc>
          <w:tcPr>
            <w:tcW w:w="3118" w:type="dxa"/>
            <w:vAlign w:val="center"/>
          </w:tcPr>
          <w:p w14:paraId="60C88DEB">
            <w:pPr>
              <w:spacing w:line="400" w:lineRule="exact"/>
              <w:jc w:val="center"/>
              <w:rPr>
                <w:rFonts w:ascii="微软雅黑" w:hAnsi="微软雅黑" w:eastAsia="微软雅黑"/>
                <w:sz w:val="24"/>
              </w:rPr>
            </w:pPr>
          </w:p>
        </w:tc>
      </w:tr>
    </w:tbl>
    <w:p w14:paraId="5F0E5E24">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14:paraId="3D4C036B">
      <w:pPr>
        <w:keepNext w:val="0"/>
        <w:keepLines w:val="0"/>
        <w:widowControl/>
        <w:suppressLineNumbers w:val="0"/>
        <w:jc w:val="left"/>
        <w:rPr>
          <w:rFonts w:hint="default"/>
          <w:b/>
          <w:bCs/>
          <w:color w:val="FF0000"/>
          <w:sz w:val="28"/>
          <w:szCs w:val="28"/>
          <w:lang w:val="en-US"/>
        </w:rPr>
      </w:pPr>
      <w:r>
        <w:rPr>
          <w:rFonts w:hint="eastAsia" w:ascii="宋体" w:hAnsi="宋体" w:cs="宋体"/>
          <w:b/>
          <w:bCs/>
          <w:color w:val="FF0000"/>
          <w:kern w:val="0"/>
          <w:sz w:val="28"/>
          <w:szCs w:val="28"/>
          <w:lang w:val="en-US" w:eastAsia="zh-CN" w:bidi="ar"/>
        </w:rPr>
        <w:t>前处理每个槽液喷淋段的</w:t>
      </w:r>
      <w:r>
        <w:rPr>
          <w:rFonts w:hint="eastAsia" w:ascii="宋体" w:hAnsi="宋体" w:eastAsia="宋体" w:cs="宋体"/>
          <w:b/>
          <w:bCs/>
          <w:color w:val="FF0000"/>
          <w:kern w:val="0"/>
          <w:sz w:val="28"/>
          <w:szCs w:val="28"/>
          <w:lang w:val="en-US" w:eastAsia="zh-CN" w:bidi="ar"/>
        </w:rPr>
        <w:t>过渡区</w:t>
      </w:r>
      <w:r>
        <w:rPr>
          <w:rFonts w:hint="eastAsia" w:ascii="宋体" w:hAnsi="宋体" w:cs="宋体"/>
          <w:b/>
          <w:bCs/>
          <w:color w:val="FF0000"/>
          <w:kern w:val="0"/>
          <w:sz w:val="28"/>
          <w:szCs w:val="28"/>
          <w:lang w:val="en-US" w:eastAsia="zh-CN" w:bidi="ar"/>
        </w:rPr>
        <w:t>合理设置、布局，注</w:t>
      </w:r>
      <w:r>
        <w:rPr>
          <w:rFonts w:hint="eastAsia" w:ascii="宋体" w:hAnsi="宋体" w:eastAsia="宋体" w:cs="宋体"/>
          <w:b/>
          <w:bCs/>
          <w:color w:val="FF0000"/>
          <w:kern w:val="0"/>
          <w:sz w:val="28"/>
          <w:szCs w:val="28"/>
          <w:lang w:val="en-US" w:eastAsia="zh-CN" w:bidi="ar"/>
        </w:rPr>
        <w:t>意窜槽液。</w:t>
      </w:r>
    </w:p>
    <w:p w14:paraId="3C39A0A8">
      <w:pPr>
        <w:spacing w:line="360" w:lineRule="auto"/>
        <w:rPr>
          <w:rFonts w:asciiTheme="minorEastAsia" w:hAnsiTheme="minorEastAsia" w:eastAsiaTheme="minorEastAsia" w:cstheme="minorEastAsia"/>
          <w:szCs w:val="21"/>
        </w:rPr>
      </w:pPr>
    </w:p>
    <w:p w14:paraId="09D5218E">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四、资格要求：</w:t>
      </w:r>
    </w:p>
    <w:p w14:paraId="5074F3DD">
      <w:pPr>
        <w:spacing w:line="360" w:lineRule="auto"/>
        <w:ind w:firstLine="420" w:firstLineChars="200"/>
        <w:rPr>
          <w:rFonts w:asciiTheme="minorEastAsia" w:hAnsiTheme="minorEastAsia" w:eastAsiaTheme="minorEastAsia" w:cstheme="minorEastAsia"/>
          <w:color w:val="FF0000"/>
          <w:szCs w:val="21"/>
        </w:rPr>
      </w:pPr>
      <w:r>
        <w:rPr>
          <w:rFonts w:hint="eastAsia" w:asciiTheme="minorEastAsia" w:hAnsiTheme="minorEastAsia" w:eastAsiaTheme="minorEastAsia" w:cstheme="minorEastAsia"/>
          <w:color w:val="FF0000"/>
          <w:szCs w:val="21"/>
        </w:rPr>
        <w:t>提报该项目对竞谈方的要求，应包括营业执照、资质证书、法定代表人授权委托书（附件竞谈函）、其他证明材料等。</w:t>
      </w:r>
    </w:p>
    <w:p w14:paraId="31BC56BA">
      <w:pPr>
        <w:spacing w:line="360" w:lineRule="auto"/>
        <w:ind w:firstLine="420" w:firstLineChars="200"/>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符合以上条件竞谈方均可参加谈判，请各竞谈方在</w:t>
      </w:r>
      <w:r>
        <w:rPr>
          <w:rFonts w:hint="eastAsia" w:asciiTheme="minorEastAsia" w:hAnsiTheme="minorEastAsia" w:eastAsiaTheme="minorEastAsia" w:cstheme="minorEastAsia"/>
          <w:b/>
          <w:bCs/>
          <w:szCs w:val="21"/>
          <w:highlight w:val="yellow"/>
        </w:rPr>
        <w:t>2026年0</w:t>
      </w:r>
      <w:r>
        <w:rPr>
          <w:rFonts w:hint="eastAsia" w:asciiTheme="minorEastAsia" w:hAnsiTheme="minorEastAsia" w:eastAsiaTheme="minorEastAsia" w:cstheme="minorEastAsia"/>
          <w:b/>
          <w:bCs/>
          <w:szCs w:val="21"/>
          <w:highlight w:val="yellow"/>
          <w:lang w:val="en-US" w:eastAsia="zh-CN"/>
        </w:rPr>
        <w:t>9</w:t>
      </w:r>
      <w:r>
        <w:rPr>
          <w:rFonts w:hint="eastAsia" w:asciiTheme="minorEastAsia" w:hAnsiTheme="minorEastAsia" w:eastAsiaTheme="minorEastAsia" w:cstheme="minorEastAsia"/>
          <w:b/>
          <w:bCs/>
          <w:szCs w:val="21"/>
          <w:highlight w:val="yellow"/>
        </w:rPr>
        <w:t>月</w:t>
      </w:r>
      <w:r>
        <w:rPr>
          <w:rFonts w:hint="eastAsia" w:asciiTheme="minorEastAsia" w:hAnsiTheme="minorEastAsia" w:eastAsiaTheme="minorEastAsia" w:cstheme="minorEastAsia"/>
          <w:b/>
          <w:bCs/>
          <w:szCs w:val="21"/>
          <w:highlight w:val="yellow"/>
          <w:lang w:val="en-US" w:eastAsia="zh-CN"/>
        </w:rPr>
        <w:t>21</w:t>
      </w:r>
      <w:r>
        <w:rPr>
          <w:rFonts w:hint="eastAsia" w:asciiTheme="minorEastAsia" w:hAnsiTheme="minorEastAsia" w:eastAsiaTheme="minorEastAsia" w:cstheme="minorEastAsia"/>
          <w:b/>
          <w:bCs/>
          <w:szCs w:val="21"/>
          <w:highlight w:val="yellow"/>
        </w:rPr>
        <w:t>日17点</w:t>
      </w:r>
      <w:r>
        <w:rPr>
          <w:rFonts w:hint="eastAsia" w:asciiTheme="minorEastAsia" w:hAnsiTheme="minorEastAsia" w:eastAsiaTheme="minorEastAsia" w:cstheme="minorEastAsia"/>
          <w:color w:val="000000"/>
          <w:szCs w:val="21"/>
        </w:rPr>
        <w:t>之前将以上资质文件复印件扫描发送至</w:t>
      </w:r>
      <w:r>
        <w:rPr>
          <w:rFonts w:hint="eastAsia" w:asciiTheme="minorEastAsia" w:hAnsiTheme="minorEastAsia" w:eastAsiaTheme="minorEastAsia" w:cstheme="minorEastAsia"/>
          <w:b/>
          <w:bCs/>
          <w:szCs w:val="21"/>
          <w:highlight w:val="yellow"/>
        </w:rPr>
        <w:t>佛山弘吉科技有限公司（电话：18738708153）</w:t>
      </w:r>
      <w:r>
        <w:rPr>
          <w:rFonts w:hint="eastAsia" w:asciiTheme="minorEastAsia" w:hAnsiTheme="minorEastAsia" w:eastAsiaTheme="minorEastAsia" w:cstheme="minorEastAsia"/>
          <w:b/>
          <w:bCs/>
          <w:sz w:val="28"/>
          <w:szCs w:val="28"/>
          <w:highlight w:val="yellow"/>
        </w:rPr>
        <w:t xml:space="preserve">guijuan.chu@gaoco.cn </w:t>
      </w:r>
      <w:r>
        <w:rPr>
          <w:rFonts w:hint="eastAsia" w:asciiTheme="minorEastAsia" w:hAnsiTheme="minorEastAsia" w:eastAsiaTheme="minorEastAsia" w:cstheme="minorEastAsia"/>
          <w:color w:val="000000"/>
          <w:szCs w:val="21"/>
        </w:rPr>
        <w:t>邮箱。</w:t>
      </w:r>
    </w:p>
    <w:p w14:paraId="2157F790">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五、 谈判文件获取时间及文件投递说明：</w:t>
      </w:r>
    </w:p>
    <w:p w14:paraId="46C1088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1、招标文书于</w:t>
      </w:r>
      <w:r>
        <w:rPr>
          <w:rFonts w:hint="eastAsia" w:asciiTheme="minorEastAsia" w:hAnsiTheme="minorEastAsia" w:eastAsiaTheme="minorEastAsia" w:cstheme="minorEastAsia"/>
          <w:b/>
          <w:bCs/>
          <w:szCs w:val="21"/>
          <w:highlight w:val="yellow"/>
        </w:rPr>
        <w:t>2026年0</w:t>
      </w:r>
      <w:r>
        <w:rPr>
          <w:rFonts w:hint="eastAsia" w:asciiTheme="minorEastAsia" w:hAnsiTheme="minorEastAsia" w:eastAsiaTheme="minorEastAsia" w:cstheme="minorEastAsia"/>
          <w:b/>
          <w:bCs/>
          <w:szCs w:val="21"/>
          <w:highlight w:val="yellow"/>
          <w:lang w:val="en-US" w:eastAsia="zh-CN"/>
        </w:rPr>
        <w:t>9</w:t>
      </w:r>
      <w:r>
        <w:rPr>
          <w:rFonts w:hint="eastAsia" w:asciiTheme="minorEastAsia" w:hAnsiTheme="minorEastAsia" w:eastAsiaTheme="minorEastAsia" w:cstheme="minorEastAsia"/>
          <w:b/>
          <w:bCs/>
          <w:szCs w:val="21"/>
          <w:highlight w:val="yellow"/>
        </w:rPr>
        <w:t>月1</w:t>
      </w:r>
      <w:r>
        <w:rPr>
          <w:rFonts w:hint="eastAsia" w:asciiTheme="minorEastAsia" w:hAnsiTheme="minorEastAsia" w:eastAsiaTheme="minorEastAsia" w:cstheme="minorEastAsia"/>
          <w:b/>
          <w:bCs/>
          <w:szCs w:val="21"/>
          <w:highlight w:val="yellow"/>
          <w:lang w:val="en-US" w:eastAsia="zh-CN"/>
        </w:rPr>
        <w:t>5</w:t>
      </w:r>
      <w:r>
        <w:rPr>
          <w:rFonts w:hint="eastAsia" w:asciiTheme="minorEastAsia" w:hAnsiTheme="minorEastAsia" w:eastAsiaTheme="minorEastAsia" w:cstheme="minorEastAsia"/>
          <w:b/>
          <w:bCs/>
          <w:szCs w:val="21"/>
          <w:highlight w:val="yellow"/>
        </w:rPr>
        <w:t>日</w:t>
      </w:r>
      <w:r>
        <w:rPr>
          <w:rFonts w:hint="eastAsia" w:asciiTheme="minorEastAsia" w:hAnsiTheme="minorEastAsia" w:eastAsiaTheme="minorEastAsia" w:cstheme="minorEastAsia"/>
          <w:szCs w:val="21"/>
        </w:rPr>
        <w:t>线上（邮件）发售，</w:t>
      </w:r>
      <w:r>
        <w:rPr>
          <w:rFonts w:hint="eastAsia" w:asciiTheme="minorEastAsia" w:hAnsiTheme="minorEastAsia" w:eastAsiaTheme="minorEastAsia" w:cstheme="minorEastAsia"/>
          <w:color w:val="000000"/>
          <w:szCs w:val="21"/>
        </w:rPr>
        <w:t>竞谈方在</w:t>
      </w:r>
      <w:r>
        <w:rPr>
          <w:rFonts w:hint="eastAsia" w:asciiTheme="minorEastAsia" w:hAnsiTheme="minorEastAsia" w:eastAsiaTheme="minorEastAsia" w:cstheme="minorEastAsia"/>
          <w:b/>
          <w:bCs/>
          <w:szCs w:val="21"/>
          <w:highlight w:val="yellow"/>
        </w:rPr>
        <w:t>2026年0</w:t>
      </w:r>
      <w:r>
        <w:rPr>
          <w:rFonts w:hint="eastAsia" w:asciiTheme="minorEastAsia" w:hAnsiTheme="minorEastAsia" w:eastAsiaTheme="minorEastAsia" w:cstheme="minorEastAsia"/>
          <w:b/>
          <w:bCs/>
          <w:szCs w:val="21"/>
          <w:highlight w:val="yellow"/>
          <w:lang w:val="en-US" w:eastAsia="zh-CN"/>
        </w:rPr>
        <w:t>9</w:t>
      </w:r>
      <w:r>
        <w:rPr>
          <w:rFonts w:hint="eastAsia" w:asciiTheme="minorEastAsia" w:hAnsiTheme="minorEastAsia" w:eastAsiaTheme="minorEastAsia" w:cstheme="minorEastAsia"/>
          <w:b/>
          <w:bCs/>
          <w:szCs w:val="21"/>
          <w:highlight w:val="yellow"/>
        </w:rPr>
        <w:t>月</w:t>
      </w:r>
      <w:r>
        <w:rPr>
          <w:rFonts w:hint="eastAsia" w:asciiTheme="minorEastAsia" w:hAnsiTheme="minorEastAsia" w:eastAsiaTheme="minorEastAsia" w:cstheme="minorEastAsia"/>
          <w:b/>
          <w:bCs/>
          <w:szCs w:val="21"/>
          <w:highlight w:val="yellow"/>
          <w:lang w:val="en-US" w:eastAsia="zh-CN"/>
        </w:rPr>
        <w:t>2</w:t>
      </w:r>
      <w:r>
        <w:rPr>
          <w:rFonts w:hint="eastAsia" w:asciiTheme="minorEastAsia" w:hAnsiTheme="minorEastAsia" w:eastAsiaTheme="minorEastAsia" w:cstheme="minorEastAsia"/>
          <w:b/>
          <w:bCs/>
          <w:szCs w:val="21"/>
          <w:highlight w:val="yellow"/>
        </w:rPr>
        <w:t>1日17点</w:t>
      </w:r>
      <w:r>
        <w:rPr>
          <w:rFonts w:hint="eastAsia" w:asciiTheme="minorEastAsia" w:hAnsiTheme="minorEastAsia" w:eastAsiaTheme="minorEastAsia" w:cstheme="minorEastAsia"/>
          <w:color w:val="000000"/>
          <w:szCs w:val="21"/>
        </w:rPr>
        <w:t>之前将投标文书和资质文件复印件扫描发送至</w:t>
      </w:r>
      <w:r>
        <w:rPr>
          <w:rFonts w:hint="eastAsia" w:asciiTheme="minorEastAsia" w:hAnsiTheme="minorEastAsia" w:eastAsiaTheme="minorEastAsia" w:cstheme="minorEastAsia"/>
          <w:b/>
          <w:bCs/>
          <w:szCs w:val="21"/>
          <w:highlight w:val="yellow"/>
        </w:rPr>
        <w:t>佛山弘吉科技有限公司（电话：18738708153）</w:t>
      </w:r>
      <w:r>
        <w:rPr>
          <w:rFonts w:hint="eastAsia" w:asciiTheme="minorEastAsia" w:hAnsiTheme="minorEastAsia" w:eastAsiaTheme="minorEastAsia" w:cstheme="minorEastAsia"/>
          <w:b/>
          <w:bCs/>
          <w:sz w:val="28"/>
          <w:szCs w:val="28"/>
          <w:highlight w:val="yellow"/>
        </w:rPr>
        <w:t xml:space="preserve">guijuan.chu@gaoco.cn </w:t>
      </w:r>
      <w:r>
        <w:rPr>
          <w:rFonts w:hint="eastAsia" w:asciiTheme="minorEastAsia" w:hAnsiTheme="minorEastAsia" w:eastAsiaTheme="minorEastAsia" w:cstheme="minorEastAsia"/>
          <w:color w:val="000000"/>
          <w:szCs w:val="21"/>
        </w:rPr>
        <w:t>邮箱</w:t>
      </w:r>
      <w:r>
        <w:rPr>
          <w:rFonts w:hint="eastAsia" w:asciiTheme="minorEastAsia" w:hAnsiTheme="minorEastAsia" w:eastAsiaTheme="minorEastAsia" w:cstheme="minorEastAsia"/>
          <w:szCs w:val="21"/>
        </w:rPr>
        <w:t>，逾期不再接收；</w:t>
      </w:r>
    </w:p>
    <w:p w14:paraId="76722718">
      <w:pPr>
        <w:spacing w:line="360" w:lineRule="auto"/>
        <w:rPr>
          <w:rFonts w:asciiTheme="minorEastAsia" w:hAnsiTheme="minorEastAsia" w:eastAsiaTheme="minorEastAsia" w:cstheme="minorEastAsia"/>
          <w:b/>
          <w:bCs/>
          <w:szCs w:val="21"/>
          <w:highlight w:val="yellow"/>
          <w:u w:val="single"/>
        </w:rPr>
      </w:pPr>
      <w:r>
        <w:rPr>
          <w:rFonts w:hint="eastAsia" w:asciiTheme="minorEastAsia" w:hAnsiTheme="minorEastAsia" w:eastAsiaTheme="minorEastAsia" w:cstheme="minorEastAsia"/>
          <w:szCs w:val="21"/>
        </w:rPr>
        <w:t>2、竞谈报价及文件于谈判前密封投递，地址：</w:t>
      </w:r>
      <w:r>
        <w:rPr>
          <w:rFonts w:hint="eastAsia" w:asciiTheme="minorEastAsia" w:hAnsiTheme="minorEastAsia" w:eastAsiaTheme="minorEastAsia" w:cstheme="minorEastAsia"/>
          <w:b/>
          <w:bCs/>
          <w:szCs w:val="21"/>
          <w:highlight w:val="yellow"/>
          <w:u w:val="single"/>
        </w:rPr>
        <w:t>广东省佛山市三水区乐平镇西乐大道全丰产业园</w:t>
      </w:r>
    </w:p>
    <w:p w14:paraId="1452B90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highlight w:val="yellow"/>
          <w:u w:val="single"/>
        </w:rPr>
        <w:t>佛山弘吉科技有限公司褚贵娟（收）</w:t>
      </w:r>
      <w:r>
        <w:rPr>
          <w:rFonts w:hint="eastAsia" w:asciiTheme="minorEastAsia" w:hAnsiTheme="minorEastAsia" w:eastAsiaTheme="minorEastAsia" w:cstheme="minorEastAsia"/>
          <w:szCs w:val="21"/>
        </w:rPr>
        <w:t>。以上文件投递后同步向</w:t>
      </w:r>
      <w:r>
        <w:rPr>
          <w:rFonts w:hint="eastAsia" w:asciiTheme="minorEastAsia" w:hAnsiTheme="minorEastAsia" w:eastAsiaTheme="minorEastAsia" w:cstheme="minorEastAsia"/>
          <w:b/>
          <w:bCs/>
          <w:szCs w:val="21"/>
          <w:highlight w:val="yellow"/>
        </w:rPr>
        <w:t>佛山弘吉科技有限公司（电话：18738708153）</w:t>
      </w:r>
      <w:r>
        <w:rPr>
          <w:rFonts w:hint="eastAsia" w:asciiTheme="minorEastAsia" w:hAnsiTheme="minorEastAsia" w:eastAsiaTheme="minorEastAsia" w:cstheme="minorEastAsia"/>
          <w:b/>
          <w:bCs/>
          <w:sz w:val="28"/>
          <w:szCs w:val="28"/>
          <w:highlight w:val="yellow"/>
        </w:rPr>
        <w:t xml:space="preserve">guijuan.chu@gaoco.cn </w:t>
      </w:r>
      <w:r>
        <w:rPr>
          <w:rFonts w:hint="eastAsia" w:asciiTheme="minorEastAsia" w:hAnsiTheme="minorEastAsia" w:eastAsiaTheme="minorEastAsia" w:cstheme="minorEastAsia"/>
          <w:color w:val="000000"/>
          <w:szCs w:val="21"/>
        </w:rPr>
        <w:t>邮箱发送电子档文件备案。</w:t>
      </w:r>
    </w:p>
    <w:p w14:paraId="4492394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3、本次竞争性谈判不接受多家单位联合报价。</w:t>
      </w:r>
    </w:p>
    <w:p w14:paraId="38AD62C4">
      <w:pPr>
        <w:spacing w:line="360" w:lineRule="auto"/>
        <w:rPr>
          <w:rFonts w:asciiTheme="minorEastAsia" w:hAnsiTheme="minorEastAsia" w:eastAsiaTheme="minorEastAsia" w:cstheme="minorEastAsia"/>
          <w:b/>
          <w:bCs/>
          <w:szCs w:val="21"/>
          <w:highlight w:val="yellow"/>
        </w:rPr>
      </w:pPr>
      <w:r>
        <w:rPr>
          <w:rFonts w:hint="eastAsia" w:asciiTheme="minorEastAsia" w:hAnsiTheme="minorEastAsia" w:eastAsiaTheme="minorEastAsia" w:cstheme="minorEastAsia"/>
          <w:color w:val="000000"/>
          <w:szCs w:val="21"/>
        </w:rPr>
        <w:t>六、谈判时间：</w:t>
      </w:r>
      <w:r>
        <w:rPr>
          <w:rFonts w:hint="eastAsia" w:asciiTheme="minorEastAsia" w:hAnsiTheme="minorEastAsia" w:eastAsiaTheme="minorEastAsia" w:cstheme="minorEastAsia"/>
          <w:b/>
          <w:bCs/>
          <w:szCs w:val="21"/>
          <w:highlight w:val="yellow"/>
        </w:rPr>
        <w:t>2026年0</w:t>
      </w:r>
      <w:r>
        <w:rPr>
          <w:rFonts w:hint="eastAsia" w:asciiTheme="minorEastAsia" w:hAnsiTheme="minorEastAsia" w:eastAsiaTheme="minorEastAsia" w:cstheme="minorEastAsia"/>
          <w:b/>
          <w:bCs/>
          <w:szCs w:val="21"/>
          <w:highlight w:val="yellow"/>
          <w:lang w:val="en-US" w:eastAsia="zh-CN"/>
        </w:rPr>
        <w:t>9</w:t>
      </w:r>
      <w:r>
        <w:rPr>
          <w:rFonts w:hint="eastAsia" w:asciiTheme="minorEastAsia" w:hAnsiTheme="minorEastAsia" w:eastAsiaTheme="minorEastAsia" w:cstheme="minorEastAsia"/>
          <w:b/>
          <w:bCs/>
          <w:szCs w:val="21"/>
          <w:highlight w:val="yellow"/>
        </w:rPr>
        <w:t>月</w:t>
      </w:r>
      <w:r>
        <w:rPr>
          <w:rFonts w:hint="eastAsia" w:asciiTheme="minorEastAsia" w:hAnsiTheme="minorEastAsia" w:eastAsiaTheme="minorEastAsia" w:cstheme="minorEastAsia"/>
          <w:b/>
          <w:bCs/>
          <w:szCs w:val="21"/>
          <w:highlight w:val="yellow"/>
          <w:lang w:val="en-US" w:eastAsia="zh-CN"/>
        </w:rPr>
        <w:t>23</w:t>
      </w:r>
      <w:r>
        <w:rPr>
          <w:rFonts w:hint="eastAsia" w:asciiTheme="minorEastAsia" w:hAnsiTheme="minorEastAsia" w:eastAsiaTheme="minorEastAsia" w:cstheme="minorEastAsia"/>
          <w:b/>
          <w:bCs/>
          <w:szCs w:val="21"/>
          <w:highlight w:val="yellow"/>
        </w:rPr>
        <w:t>日（具体时间另行通知）。</w:t>
      </w:r>
    </w:p>
    <w:p w14:paraId="6EB2D596">
      <w:pPr>
        <w:spacing w:line="360" w:lineRule="auto"/>
        <w:rPr>
          <w:rFonts w:asciiTheme="minorEastAsia" w:hAnsiTheme="minorEastAsia" w:eastAsiaTheme="minorEastAsia" w:cstheme="minorEastAsia"/>
          <w:b/>
          <w:bCs/>
          <w:szCs w:val="21"/>
          <w:highlight w:val="yellow"/>
        </w:rPr>
      </w:pPr>
      <w:r>
        <w:rPr>
          <w:rFonts w:hint="eastAsia" w:asciiTheme="minorEastAsia" w:hAnsiTheme="minorEastAsia" w:eastAsiaTheme="minorEastAsia" w:cstheme="minorEastAsia"/>
          <w:szCs w:val="21"/>
        </w:rPr>
        <w:t xml:space="preserve">七、谈判地点： </w:t>
      </w:r>
      <w:r>
        <w:rPr>
          <w:rFonts w:hint="eastAsia" w:asciiTheme="minorEastAsia" w:hAnsiTheme="minorEastAsia" w:eastAsiaTheme="minorEastAsia" w:cstheme="minorEastAsia"/>
          <w:szCs w:val="21"/>
          <w:highlight w:val="yellow"/>
        </w:rPr>
        <w:t xml:space="preserve"> </w:t>
      </w:r>
      <w:r>
        <w:rPr>
          <w:rFonts w:hint="eastAsia" w:asciiTheme="minorEastAsia" w:hAnsiTheme="minorEastAsia" w:eastAsiaTheme="minorEastAsia" w:cstheme="minorEastAsia"/>
          <w:b/>
          <w:bCs/>
          <w:szCs w:val="21"/>
          <w:highlight w:val="yellow"/>
          <w:u w:val="single"/>
        </w:rPr>
        <w:t>广东省佛山市三水区乐平镇西乐大道全丰产业园佛山弘吉科技有限公司3楼会议室。</w:t>
      </w:r>
    </w:p>
    <w:p w14:paraId="5DB8DA45">
      <w:pPr>
        <w:spacing w:line="360" w:lineRule="auto"/>
        <w:rPr>
          <w:rFonts w:asciiTheme="minorEastAsia" w:hAnsiTheme="minorEastAsia" w:eastAsiaTheme="minorEastAsia" w:cstheme="minorEastAsia"/>
          <w:szCs w:val="21"/>
        </w:rPr>
      </w:pPr>
    </w:p>
    <w:p w14:paraId="179A6FCC">
      <w:pPr>
        <w:pStyle w:val="30"/>
      </w:pPr>
    </w:p>
    <w:p w14:paraId="1ABF99B6">
      <w:pPr>
        <w:numPr>
          <w:ilvl w:val="0"/>
          <w:numId w:val="2"/>
        </w:numPr>
        <w:spacing w:line="360" w:lineRule="auto"/>
        <w:jc w:val="center"/>
        <w:rPr>
          <w:rFonts w:ascii="黑体" w:hAnsi="黑体" w:eastAsia="黑体" w:cs="黑体"/>
          <w:sz w:val="24"/>
        </w:rPr>
      </w:pPr>
      <w:r>
        <w:rPr>
          <w:rFonts w:hint="eastAsia" w:ascii="黑体" w:hAnsi="黑体" w:eastAsia="黑体" w:cs="黑体"/>
          <w:sz w:val="24"/>
        </w:rPr>
        <w:t xml:space="preserve"> 竞谈方须知</w:t>
      </w:r>
      <w:bookmarkEnd w:id="1"/>
    </w:p>
    <w:p w14:paraId="4378A239">
      <w:pPr>
        <w:spacing w:line="360" w:lineRule="auto"/>
        <w:rPr>
          <w:rFonts w:ascii="黑体" w:hAnsi="黑体" w:eastAsia="黑体" w:cs="黑体"/>
          <w:sz w:val="24"/>
        </w:rPr>
      </w:pPr>
    </w:p>
    <w:p w14:paraId="05F44D03">
      <w:pPr>
        <w:spacing w:line="360" w:lineRule="auto"/>
        <w:rPr>
          <w:rFonts w:asciiTheme="minorEastAsia" w:hAnsiTheme="minorEastAsia" w:eastAsiaTheme="minorEastAsia" w:cstheme="minorEastAsia"/>
          <w:color w:val="000000"/>
          <w:szCs w:val="21"/>
        </w:rPr>
      </w:pPr>
      <w:bookmarkStart w:id="2" w:name="_Toc376522137"/>
      <w:r>
        <w:rPr>
          <w:rFonts w:hint="eastAsia" w:asciiTheme="minorEastAsia" w:hAnsiTheme="minorEastAsia" w:eastAsiaTheme="minorEastAsia" w:cstheme="minorEastAsia"/>
          <w:color w:val="000000"/>
          <w:szCs w:val="21"/>
        </w:rPr>
        <w:t>一、竞谈方</w:t>
      </w:r>
      <w:bookmarkEnd w:id="2"/>
    </w:p>
    <w:p w14:paraId="083B1993">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（一）竞谈资料复核</w:t>
      </w:r>
    </w:p>
    <w:p w14:paraId="5E50D9B1">
      <w:pPr>
        <w:spacing w:line="360" w:lineRule="auto"/>
        <w:ind w:firstLine="420" w:firstLineChars="200"/>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所有竞谈方资格文件复核时，发现提供虚假资质报名的竞谈方，视为无效竞谈，拉入高科合作供方黑名单，永久不得续用，有投标保证金的扣除保证金。</w:t>
      </w:r>
    </w:p>
    <w:p w14:paraId="5EBC4B78">
      <w:pPr>
        <w:spacing w:line="360" w:lineRule="auto"/>
        <w:rPr>
          <w:rFonts w:asciiTheme="minorEastAsia" w:hAnsiTheme="minorEastAsia" w:eastAsiaTheme="minorEastAsia" w:cstheme="minorEastAsia"/>
          <w:color w:val="000000"/>
          <w:szCs w:val="21"/>
        </w:rPr>
      </w:pPr>
      <w:bookmarkStart w:id="3" w:name="_Toc376522138"/>
      <w:r>
        <w:rPr>
          <w:rFonts w:hint="eastAsia" w:asciiTheme="minorEastAsia" w:hAnsiTheme="minorEastAsia" w:eastAsiaTheme="minorEastAsia" w:cstheme="minorEastAsia"/>
          <w:color w:val="000000"/>
          <w:szCs w:val="21"/>
        </w:rPr>
        <w:t>二、竞谈文件</w:t>
      </w:r>
      <w:bookmarkEnd w:id="3"/>
    </w:p>
    <w:p w14:paraId="78A81135">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（一）竞谈文件的组成：</w:t>
      </w:r>
    </w:p>
    <w:p w14:paraId="62A91D8E">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1、竞谈函（见附件格式要求）</w:t>
      </w:r>
    </w:p>
    <w:p w14:paraId="0CDFC1CE">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2、报价单（见附件：项目报价单及项目报价单明细）</w:t>
      </w:r>
    </w:p>
    <w:p w14:paraId="7F1AC0EB">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3、项目实施方案（自拟，格式：PPT）</w:t>
      </w:r>
    </w:p>
    <w:p w14:paraId="4067E358">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4、资格证明文件</w:t>
      </w:r>
    </w:p>
    <w:p w14:paraId="6C897711">
      <w:pPr>
        <w:spacing w:line="360" w:lineRule="auto"/>
        <w:rPr>
          <w:rFonts w:asciiTheme="minorEastAsia" w:hAnsiTheme="minorEastAsia" w:eastAsiaTheme="minorEastAsia" w:cstheme="minorEastAsia"/>
          <w:color w:val="000000"/>
          <w:szCs w:val="21"/>
        </w:rPr>
      </w:pPr>
      <w:bookmarkStart w:id="4" w:name="_Toc376522139"/>
      <w:r>
        <w:rPr>
          <w:rFonts w:hint="eastAsia" w:asciiTheme="minorEastAsia" w:hAnsiTheme="minorEastAsia" w:eastAsiaTheme="minorEastAsia" w:cstheme="minorEastAsia"/>
          <w:color w:val="000000"/>
          <w:szCs w:val="21"/>
        </w:rPr>
        <w:t>三、竞谈文件编制要求</w:t>
      </w:r>
      <w:bookmarkEnd w:id="4"/>
    </w:p>
    <w:p w14:paraId="70A9A7AE">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（一）竞谈文件填写要求</w:t>
      </w:r>
    </w:p>
    <w:p w14:paraId="3792BC9E">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1、竞谈文件按统一格式填写并装订；</w:t>
      </w:r>
    </w:p>
    <w:p w14:paraId="135ABD5D">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2、报价单为经过盖章的纸版报价单、电子版报价单（根据竞谈方要求提供），要求按附件格式填写，统一规范，不得自行增减、修改内容；</w:t>
      </w:r>
    </w:p>
    <w:p w14:paraId="1B1F4299">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3、电子版报价单需与纸板报价单一致，如出现电子版报价与纸版报价不符，以纸版报价为准。</w:t>
      </w:r>
    </w:p>
    <w:p w14:paraId="194AA8B3">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w:t>
      </w:r>
      <w:r>
        <w:rPr>
          <w:rFonts w:hint="eastAsia" w:asciiTheme="minorEastAsia" w:hAnsiTheme="minorEastAsia" w:eastAsiaTheme="minorEastAsia" w:cstheme="minorEastAsia"/>
          <w:color w:val="000000"/>
          <w:szCs w:val="21"/>
        </w:rPr>
        <w:t>竞谈文件</w:t>
      </w:r>
      <w:r>
        <w:rPr>
          <w:rFonts w:hint="eastAsia" w:asciiTheme="minorEastAsia" w:hAnsiTheme="minorEastAsia" w:eastAsiaTheme="minorEastAsia" w:cstheme="minorEastAsia"/>
          <w:szCs w:val="21"/>
        </w:rPr>
        <w:t>计量单位</w:t>
      </w:r>
    </w:p>
    <w:p w14:paraId="60368895">
      <w:pPr>
        <w:spacing w:line="360" w:lineRule="auto"/>
        <w:ind w:firstLine="420" w:firstLineChars="200"/>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竞谈文件中所使用的计量单位，除谈判文件中有特殊要求外，应采用国家法定计量单位。</w:t>
      </w:r>
    </w:p>
    <w:p w14:paraId="2722A6C1">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（三）报价单填写要求：</w:t>
      </w:r>
    </w:p>
    <w:p w14:paraId="7763FFCB">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1、以人民币为单位报价（含税价），报价最多保留两位小数。</w:t>
      </w:r>
    </w:p>
    <w:p w14:paraId="52590C1A">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2、报价单必须加盖竞谈方公章。</w:t>
      </w:r>
    </w:p>
    <w:p w14:paraId="3D3216F0">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3、每一项目有且只有一个报价。</w:t>
      </w:r>
    </w:p>
    <w:p w14:paraId="45A6D8B1">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（四）报价的计算错误修正方法：</w:t>
      </w:r>
    </w:p>
    <w:p w14:paraId="2CD3E089">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1、如果单价乘数量不等于总价，应以单价为准修正总价。</w:t>
      </w:r>
    </w:p>
    <w:p w14:paraId="5759A044">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2、如果以文字表示的数据与数字表有所差距，应以文字为准修正数字。</w:t>
      </w:r>
    </w:p>
    <w:p w14:paraId="246628E5">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3、竞谈方不同意以上修正，则视为放弃竞谈。</w:t>
      </w:r>
    </w:p>
    <w:p w14:paraId="7E3BAB02">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4、与谈判文件有重大偏离的竞谈文件将被拒绝。重大偏离指竞谈方的报价及其它相关的技术指标明显不能满足谈判文件的要求。</w:t>
      </w:r>
    </w:p>
    <w:p w14:paraId="521C796A">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（五）竞谈项目实施方案</w:t>
      </w:r>
    </w:p>
    <w:p w14:paraId="296AC3EE">
      <w:pPr>
        <w:spacing w:line="360" w:lineRule="auto"/>
        <w:ind w:firstLine="420" w:firstLineChars="200"/>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竞谈项目实施方案由竞谈方自行编制，以PPT(提前发送方案邮件)形式展现，包括以下内容：</w:t>
      </w:r>
    </w:p>
    <w:p w14:paraId="7FEB54ED">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（1）竞谈公司概述</w:t>
      </w:r>
    </w:p>
    <w:p w14:paraId="022615A4">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（2）竞谈项目的实施方案</w:t>
      </w:r>
    </w:p>
    <w:p w14:paraId="0A18ECB4">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（3）其它优惠条件及承诺</w:t>
      </w:r>
    </w:p>
    <w:p w14:paraId="793D6ABD">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（六）资格证明文件必须包括以下内容（所有必须证件需全部列明并盖章确认）</w:t>
      </w:r>
    </w:p>
    <w:p w14:paraId="4434D215">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1、企业法人营业执照（经相关部门年检合格）；</w:t>
      </w:r>
    </w:p>
    <w:p w14:paraId="396C3CE1">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2、开户许可证；</w:t>
      </w:r>
    </w:p>
    <w:p w14:paraId="086867FF">
      <w:pPr>
        <w:spacing w:line="360" w:lineRule="auto"/>
        <w:rPr>
          <w:rFonts w:asciiTheme="minorEastAsia" w:hAnsiTheme="minorEastAsia" w:eastAsiaTheme="minorEastAsia" w:cstheme="minorEastAsia"/>
          <w:color w:val="FF0000"/>
          <w:szCs w:val="21"/>
        </w:rPr>
      </w:pPr>
      <w:r>
        <w:rPr>
          <w:rFonts w:hint="eastAsia" w:asciiTheme="minorEastAsia" w:hAnsiTheme="minorEastAsia" w:eastAsiaTheme="minorEastAsia" w:cstheme="minorEastAsia"/>
          <w:color w:val="000000"/>
          <w:szCs w:val="21"/>
        </w:rPr>
        <w:t>3、本次竞谈项目规定的其他资格证明性文件：</w:t>
      </w:r>
      <w:r>
        <w:rPr>
          <w:rFonts w:hint="eastAsia" w:asciiTheme="minorEastAsia" w:hAnsiTheme="minorEastAsia" w:eastAsiaTheme="minorEastAsia" w:cstheme="minorEastAsia"/>
          <w:szCs w:val="21"/>
        </w:rPr>
        <w:t>物料及产品第三方检测报告、公司设备清单。</w:t>
      </w:r>
    </w:p>
    <w:p w14:paraId="286A5677">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（七）竞谈文件的密封及标记</w:t>
      </w:r>
    </w:p>
    <w:p w14:paraId="1283C8E2">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1、竞谈文件应密封投递。</w:t>
      </w:r>
    </w:p>
    <w:p w14:paraId="64BE3BAC">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2、竞谈文件外层应按以下格式显著标志：</w:t>
      </w:r>
    </w:p>
    <w:p w14:paraId="710430D0">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项目名称</w:t>
      </w:r>
    </w:p>
    <w:p w14:paraId="48D19B04">
      <w:pPr>
        <w:spacing w:line="360" w:lineRule="auto"/>
        <w:rPr>
          <w:rFonts w:asciiTheme="minorEastAsia" w:hAnsiTheme="minorEastAsia" w:eastAsiaTheme="minorEastAsia" w:cstheme="minorEastAsia"/>
          <w:color w:val="000000"/>
          <w:szCs w:val="21"/>
          <w:u w:val="single"/>
        </w:rPr>
      </w:pPr>
      <w:r>
        <w:rPr>
          <w:rFonts w:hint="eastAsia" w:asciiTheme="minorEastAsia" w:hAnsiTheme="minorEastAsia" w:eastAsiaTheme="minorEastAsia" w:cstheme="minorEastAsia"/>
          <w:color w:val="000000"/>
          <w:szCs w:val="21"/>
        </w:rPr>
        <w:t>项目编号</w:t>
      </w:r>
    </w:p>
    <w:p w14:paraId="2C34C13F">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 xml:space="preserve">竞谈单位 </w:t>
      </w:r>
    </w:p>
    <w:p w14:paraId="7EE64ABA">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3、竞谈文件必须密封及标记后在谈判</w:t>
      </w:r>
      <w:r>
        <w:rPr>
          <w:rFonts w:hint="eastAsia" w:asciiTheme="minorEastAsia" w:hAnsiTheme="minorEastAsia" w:eastAsiaTheme="minorEastAsia" w:cstheme="minorEastAsia"/>
          <w:szCs w:val="21"/>
        </w:rPr>
        <w:t>前邮寄</w:t>
      </w:r>
      <w:r>
        <w:rPr>
          <w:rFonts w:hint="eastAsia" w:asciiTheme="minorEastAsia" w:hAnsiTheme="minorEastAsia" w:eastAsiaTheme="minorEastAsia" w:cstheme="minorEastAsia"/>
          <w:color w:val="000000"/>
          <w:szCs w:val="21"/>
        </w:rPr>
        <w:t>递交竞谈组织方。</w:t>
      </w:r>
    </w:p>
    <w:p w14:paraId="63CDAE4A">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4、竞谈文件的电子档需在邮寄的同时一并发送至竞谈组织方。</w:t>
      </w:r>
    </w:p>
    <w:p w14:paraId="64A43C4D">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（八）竞谈文件的修改和撤回</w:t>
      </w:r>
    </w:p>
    <w:p w14:paraId="0BAA33A3">
      <w:pPr>
        <w:spacing w:line="360" w:lineRule="auto"/>
        <w:ind w:firstLine="420" w:firstLineChars="200"/>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竞谈会议开始后竞谈方不得修改和撤回竞谈文件，否则视为谈判有效期间，竞谈方撤回其竞谈文件处理，并扣除竞谈保证金。</w:t>
      </w:r>
    </w:p>
    <w:p w14:paraId="1B8BA9A4">
      <w:pPr>
        <w:spacing w:line="360" w:lineRule="auto"/>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（九）谈判文件的澄清</w:t>
      </w:r>
    </w:p>
    <w:p w14:paraId="57F7BF9C">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color w:val="000000"/>
          <w:szCs w:val="21"/>
        </w:rPr>
        <w:t>竞谈方对谈判文件如有疑点要求澄清或认为有必要与竞谈组织方进行技术交流时，可用书面或电话形式联系竞谈组织方业务咨询负责人。</w:t>
      </w:r>
    </w:p>
    <w:p w14:paraId="567EA501">
      <w:pPr>
        <w:spacing w:line="360" w:lineRule="auto"/>
        <w:rPr>
          <w:rFonts w:asciiTheme="minorEastAsia" w:hAnsiTheme="minorEastAsia" w:eastAsiaTheme="minorEastAsia" w:cstheme="minorEastAsia"/>
          <w:color w:val="000000"/>
          <w:szCs w:val="21"/>
        </w:rPr>
      </w:pPr>
      <w:bookmarkStart w:id="5" w:name="_Toc376522142"/>
      <w:r>
        <w:rPr>
          <w:rFonts w:hint="eastAsia" w:asciiTheme="minorEastAsia" w:hAnsiTheme="minorEastAsia" w:eastAsiaTheme="minorEastAsia" w:cstheme="minorEastAsia"/>
          <w:color w:val="000000"/>
          <w:szCs w:val="21"/>
        </w:rPr>
        <w:t>四、</w:t>
      </w:r>
      <w:bookmarkEnd w:id="5"/>
      <w:r>
        <w:rPr>
          <w:rFonts w:hint="eastAsia" w:asciiTheme="minorEastAsia" w:hAnsiTheme="minorEastAsia" w:eastAsiaTheme="minorEastAsia" w:cstheme="minorEastAsia"/>
          <w:color w:val="000000"/>
          <w:szCs w:val="21"/>
        </w:rPr>
        <w:t>竞谈会议</w:t>
      </w:r>
    </w:p>
    <w:p w14:paraId="538CEF54">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1、竞谈会议的组织、项目的评审由竞谈组织方负责。</w:t>
      </w:r>
    </w:p>
    <w:p w14:paraId="60C64CCB">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2、竞谈方需在所规定的竞谈时间前到达或电话参加竞谈会议。</w:t>
      </w:r>
    </w:p>
    <w:p w14:paraId="327CFB70">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3、竞谈方未按规定时间到达或电话参加竞谈会将视为放弃竞谈。（取消竞谈资格）。</w:t>
      </w:r>
    </w:p>
    <w:p w14:paraId="7FC6BC8B">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4、竞争性谈判会议时间、地点、日程等安排：</w:t>
      </w:r>
    </w:p>
    <w:p w14:paraId="063C1DEE">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（1）竞谈会议时间：</w:t>
      </w:r>
      <w:r>
        <w:rPr>
          <w:rFonts w:hint="eastAsia" w:asciiTheme="minorEastAsia" w:hAnsiTheme="minorEastAsia" w:eastAsiaTheme="minorEastAsia" w:cstheme="minorEastAsia"/>
          <w:b/>
          <w:bCs/>
          <w:szCs w:val="21"/>
          <w:highlight w:val="yellow"/>
        </w:rPr>
        <w:t>2026年0</w:t>
      </w:r>
      <w:r>
        <w:rPr>
          <w:rFonts w:hint="eastAsia" w:asciiTheme="minorEastAsia" w:hAnsiTheme="minorEastAsia" w:eastAsiaTheme="minorEastAsia" w:cstheme="minorEastAsia"/>
          <w:b/>
          <w:bCs/>
          <w:szCs w:val="21"/>
          <w:highlight w:val="yellow"/>
          <w:lang w:val="en-US" w:eastAsia="zh-CN"/>
        </w:rPr>
        <w:t>9</w:t>
      </w:r>
      <w:r>
        <w:rPr>
          <w:rFonts w:hint="eastAsia" w:asciiTheme="minorEastAsia" w:hAnsiTheme="minorEastAsia" w:eastAsiaTheme="minorEastAsia" w:cstheme="minorEastAsia"/>
          <w:b/>
          <w:bCs/>
          <w:szCs w:val="21"/>
          <w:highlight w:val="yellow"/>
        </w:rPr>
        <w:t>月</w:t>
      </w:r>
      <w:r>
        <w:rPr>
          <w:rFonts w:hint="eastAsia" w:asciiTheme="minorEastAsia" w:hAnsiTheme="minorEastAsia" w:eastAsiaTheme="minorEastAsia" w:cstheme="minorEastAsia"/>
          <w:b/>
          <w:bCs/>
          <w:szCs w:val="21"/>
          <w:highlight w:val="yellow"/>
          <w:lang w:val="en-US" w:eastAsia="zh-CN"/>
        </w:rPr>
        <w:t>23</w:t>
      </w:r>
      <w:r>
        <w:rPr>
          <w:rFonts w:hint="eastAsia" w:asciiTheme="minorEastAsia" w:hAnsiTheme="minorEastAsia" w:eastAsiaTheme="minorEastAsia" w:cstheme="minorEastAsia"/>
          <w:b/>
          <w:bCs/>
          <w:szCs w:val="21"/>
          <w:highlight w:val="yellow"/>
        </w:rPr>
        <w:t>日。</w:t>
      </w:r>
    </w:p>
    <w:p w14:paraId="4B54E9A2">
      <w:pPr>
        <w:spacing w:line="360" w:lineRule="auto"/>
        <w:jc w:val="left"/>
        <w:rPr>
          <w:rFonts w:asciiTheme="minorEastAsia" w:hAnsiTheme="minorEastAsia" w:eastAsiaTheme="minorEastAsia" w:cstheme="minorEastAsia"/>
          <w:b/>
          <w:bCs/>
          <w:szCs w:val="21"/>
          <w:highlight w:val="yellow"/>
          <w:u w:val="single"/>
        </w:rPr>
      </w:pPr>
      <w:r>
        <w:rPr>
          <w:rFonts w:hint="eastAsia" w:asciiTheme="minorEastAsia" w:hAnsiTheme="minorEastAsia" w:eastAsiaTheme="minorEastAsia" w:cstheme="minorEastAsia"/>
          <w:color w:val="000000"/>
          <w:szCs w:val="21"/>
        </w:rPr>
        <w:t>（2）竞谈会议地点：</w:t>
      </w:r>
      <w:r>
        <w:rPr>
          <w:rFonts w:hint="eastAsia" w:asciiTheme="minorEastAsia" w:hAnsiTheme="minorEastAsia" w:eastAsiaTheme="minorEastAsia" w:cstheme="minorEastAsia"/>
          <w:b/>
          <w:bCs/>
          <w:szCs w:val="21"/>
          <w:highlight w:val="yellow"/>
        </w:rPr>
        <w:t>佛山弘吉科技有限公司3楼会议室。</w:t>
      </w:r>
    </w:p>
    <w:p w14:paraId="1393D235">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（3）竞谈会议日程：</w:t>
      </w:r>
      <w:r>
        <w:rPr>
          <w:rFonts w:hint="eastAsia" w:asciiTheme="minorEastAsia" w:hAnsiTheme="minorEastAsia" w:eastAsiaTheme="minorEastAsia" w:cstheme="minorEastAsia"/>
          <w:b/>
          <w:bCs/>
          <w:szCs w:val="21"/>
          <w:highlight w:val="yellow"/>
        </w:rPr>
        <w:t>2026年0</w:t>
      </w:r>
      <w:r>
        <w:rPr>
          <w:rFonts w:hint="eastAsia" w:asciiTheme="minorEastAsia" w:hAnsiTheme="minorEastAsia" w:eastAsiaTheme="minorEastAsia" w:cstheme="minorEastAsia"/>
          <w:b/>
          <w:bCs/>
          <w:szCs w:val="21"/>
          <w:highlight w:val="yellow"/>
          <w:lang w:val="en-US" w:eastAsia="zh-CN"/>
        </w:rPr>
        <w:t>9</w:t>
      </w:r>
      <w:r>
        <w:rPr>
          <w:rFonts w:hint="eastAsia" w:asciiTheme="minorEastAsia" w:hAnsiTheme="minorEastAsia" w:eastAsiaTheme="minorEastAsia" w:cstheme="minorEastAsia"/>
          <w:b/>
          <w:bCs/>
          <w:szCs w:val="21"/>
          <w:highlight w:val="yellow"/>
        </w:rPr>
        <w:t>月</w:t>
      </w:r>
      <w:r>
        <w:rPr>
          <w:rFonts w:hint="eastAsia" w:asciiTheme="minorEastAsia" w:hAnsiTheme="minorEastAsia" w:eastAsiaTheme="minorEastAsia" w:cstheme="minorEastAsia"/>
          <w:b/>
          <w:bCs/>
          <w:szCs w:val="21"/>
          <w:highlight w:val="yellow"/>
          <w:lang w:val="en-US" w:eastAsia="zh-CN"/>
        </w:rPr>
        <w:t>23</w:t>
      </w:r>
      <w:r>
        <w:rPr>
          <w:rFonts w:hint="eastAsia" w:asciiTheme="minorEastAsia" w:hAnsiTheme="minorEastAsia" w:eastAsiaTheme="minorEastAsia" w:cstheme="minorEastAsia"/>
          <w:b/>
          <w:bCs/>
          <w:szCs w:val="21"/>
          <w:highlight w:val="yellow"/>
        </w:rPr>
        <w:t>日</w:t>
      </w:r>
      <w:r>
        <w:rPr>
          <w:rFonts w:hint="eastAsia" w:asciiTheme="minorEastAsia" w:hAnsiTheme="minorEastAsia" w:eastAsiaTheme="minorEastAsia" w:cstheme="minorEastAsia"/>
          <w:b/>
          <w:bCs/>
          <w:color w:val="000000"/>
          <w:szCs w:val="21"/>
          <w:highlight w:val="yellow"/>
        </w:rPr>
        <w:t>14:30-16:30</w:t>
      </w:r>
      <w:r>
        <w:rPr>
          <w:rFonts w:hint="eastAsia" w:asciiTheme="minorEastAsia" w:hAnsiTheme="minorEastAsia" w:eastAsiaTheme="minorEastAsia" w:cstheme="minorEastAsia"/>
          <w:b/>
          <w:bCs/>
          <w:szCs w:val="21"/>
          <w:highlight w:val="yellow"/>
        </w:rPr>
        <w:t>（具体时间另行通知）。</w:t>
      </w:r>
    </w:p>
    <w:p w14:paraId="28F3F360">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5、竞谈组织方有权对竞谈文件中模糊之处向竞谈方提出询问或澄清要求，竞谈方必须按照竞谈组织方通知时间派有关人员解答质疑和澄清。</w:t>
      </w:r>
    </w:p>
    <w:p w14:paraId="31CC8597">
      <w:pPr>
        <w:spacing w:line="360" w:lineRule="auto"/>
        <w:rPr>
          <w:rFonts w:asciiTheme="minorEastAsia" w:hAnsiTheme="minorEastAsia" w:eastAsiaTheme="minorEastAsia" w:cstheme="minorEastAsia"/>
          <w:color w:val="000000"/>
          <w:szCs w:val="21"/>
        </w:rPr>
      </w:pPr>
      <w:bookmarkStart w:id="6" w:name="_Toc376522144"/>
      <w:r>
        <w:rPr>
          <w:rFonts w:hint="eastAsia" w:asciiTheme="minorEastAsia" w:hAnsiTheme="minorEastAsia" w:eastAsiaTheme="minorEastAsia" w:cstheme="minorEastAsia"/>
          <w:color w:val="000000"/>
          <w:szCs w:val="21"/>
        </w:rPr>
        <w:t>五、项目评审方法及评分标准</w:t>
      </w:r>
      <w:bookmarkEnd w:id="6"/>
    </w:p>
    <w:p w14:paraId="0E2DB1EC">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1、竞谈组织方根据项目特点组建评审委员会，对具备实质性的竞谈文件进行评估和比较。</w:t>
      </w:r>
    </w:p>
    <w:p w14:paraId="0A0F69D4">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2、本项目共设置</w:t>
      </w:r>
      <w:r>
        <w:rPr>
          <w:rFonts w:hint="eastAsia" w:asciiTheme="minorEastAsia" w:hAnsiTheme="minorEastAsia" w:eastAsiaTheme="minorEastAsia" w:cstheme="minorEastAsia"/>
          <w:szCs w:val="21"/>
        </w:rPr>
        <w:t>1轮报价1轮谈判，采取现场评审项目竞谈</w:t>
      </w:r>
      <w:r>
        <w:rPr>
          <w:rFonts w:hint="eastAsia" w:asciiTheme="minorEastAsia" w:hAnsiTheme="minorEastAsia" w:eastAsiaTheme="minorEastAsia" w:cstheme="minorEastAsia"/>
          <w:color w:val="000000"/>
          <w:szCs w:val="21"/>
        </w:rPr>
        <w:t>文件。</w:t>
      </w:r>
    </w:p>
    <w:p w14:paraId="0C5B9B3F">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3、需提供证明性材料如下：</w:t>
      </w:r>
    </w:p>
    <w:p w14:paraId="315F8054">
      <w:pPr>
        <w:spacing w:line="360" w:lineRule="auto"/>
        <w:ind w:firstLine="420" w:firstLineChars="200"/>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szCs w:val="21"/>
        </w:rPr>
        <w:t>设备关键原料质量检验报告及关键元器件品牌授权代理证书（外</w:t>
      </w:r>
      <w:r>
        <w:rPr>
          <w:rFonts w:hint="eastAsia" w:asciiTheme="minorEastAsia" w:hAnsiTheme="minorEastAsia" w:eastAsiaTheme="minorEastAsia" w:cstheme="minorEastAsia"/>
          <w:color w:val="000000"/>
          <w:szCs w:val="21"/>
        </w:rPr>
        <w:t>检报告或公司内检需要加盖公章）、公司设备清单。</w:t>
      </w:r>
    </w:p>
    <w:p w14:paraId="37CAD216">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4、择优选择以下竞谈方：竞谈文件符合本项目谈判文件规定要求，经营状况良好、社会信誉度良好、资源优势、报价合理、具备合同执行能力、综合评比最优、承诺条件最优。</w:t>
      </w:r>
    </w:p>
    <w:p w14:paraId="7AEA58FA">
      <w:pPr>
        <w:spacing w:line="360" w:lineRule="auto"/>
        <w:rPr>
          <w:rFonts w:asciiTheme="minorEastAsia" w:hAnsiTheme="minorEastAsia" w:eastAsiaTheme="minorEastAsia" w:cstheme="minorEastAsia"/>
          <w:color w:val="000000"/>
          <w:szCs w:val="21"/>
        </w:rPr>
      </w:pPr>
      <w:bookmarkStart w:id="7" w:name="_Toc376522145"/>
      <w:r>
        <w:rPr>
          <w:rFonts w:hint="eastAsia" w:asciiTheme="minorEastAsia" w:hAnsiTheme="minorEastAsia" w:eastAsiaTheme="minorEastAsia" w:cstheme="minorEastAsia"/>
          <w:color w:val="000000"/>
          <w:szCs w:val="21"/>
        </w:rPr>
        <w:t>六、评审过程保密</w:t>
      </w:r>
      <w:bookmarkEnd w:id="7"/>
    </w:p>
    <w:p w14:paraId="0B645780">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项目竞谈会议之后，直到授予竞谈方合同为止，凡是属于审查、澄清、评价和比较与竞谈有关的资料及授权意向等，竞谈组织方工作人员均不得向任一竞谈方或其他无关人员透露。</w:t>
      </w:r>
    </w:p>
    <w:p w14:paraId="237D7389">
      <w:pPr>
        <w:spacing w:line="360" w:lineRule="auto"/>
        <w:rPr>
          <w:rFonts w:asciiTheme="minorEastAsia" w:hAnsiTheme="minorEastAsia" w:eastAsiaTheme="minorEastAsia" w:cstheme="minorEastAsia"/>
          <w:color w:val="000000"/>
          <w:szCs w:val="21"/>
        </w:rPr>
      </w:pPr>
      <w:bookmarkStart w:id="8" w:name="_Toc376522146"/>
      <w:r>
        <w:rPr>
          <w:rFonts w:hint="eastAsia" w:asciiTheme="minorEastAsia" w:hAnsiTheme="minorEastAsia" w:eastAsiaTheme="minorEastAsia" w:cstheme="minorEastAsia"/>
          <w:color w:val="000000"/>
          <w:szCs w:val="21"/>
        </w:rPr>
        <w:t>七、最终审查</w:t>
      </w:r>
      <w:bookmarkEnd w:id="8"/>
    </w:p>
    <w:p w14:paraId="1EC624CA">
      <w:pPr>
        <w:tabs>
          <w:tab w:val="left" w:pos="993"/>
        </w:tabs>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1、最终审查的对象是成交方，即意向授予合同的竞谈方。</w:t>
      </w:r>
    </w:p>
    <w:p w14:paraId="327E20F1">
      <w:pPr>
        <w:tabs>
          <w:tab w:val="left" w:pos="993"/>
        </w:tabs>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2、最终审查为竞谈组织方对成交方就项目内容进一步了解并考查。</w:t>
      </w:r>
    </w:p>
    <w:p w14:paraId="2BC282F0">
      <w:pPr>
        <w:tabs>
          <w:tab w:val="left" w:pos="993"/>
        </w:tabs>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3、最终审查的方式：对成交方进行询问或实地考察。</w:t>
      </w:r>
    </w:p>
    <w:p w14:paraId="6025EC4E">
      <w:pPr>
        <w:tabs>
          <w:tab w:val="left" w:pos="993"/>
        </w:tabs>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4、接受最终审查的成交方，必须如实回答和受理竞谈组织方的询问和考查，并提供所需的相关资料。</w:t>
      </w:r>
    </w:p>
    <w:p w14:paraId="29E7523D">
      <w:pPr>
        <w:tabs>
          <w:tab w:val="left" w:pos="993"/>
        </w:tabs>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5、由于成交方原因导致合同无法签订的，竞谈组织方不承担任何责任。</w:t>
      </w:r>
    </w:p>
    <w:p w14:paraId="2A4AC933">
      <w:pPr>
        <w:tabs>
          <w:tab w:val="left" w:pos="993"/>
        </w:tabs>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6、由于竞谈方提供虚假信息，经核查属实的，竞谈组织方有权取消其成交资格。</w:t>
      </w:r>
    </w:p>
    <w:p w14:paraId="1215779B">
      <w:pPr>
        <w:spacing w:line="360" w:lineRule="auto"/>
        <w:rPr>
          <w:rFonts w:asciiTheme="minorEastAsia" w:hAnsiTheme="minorEastAsia" w:eastAsiaTheme="minorEastAsia" w:cstheme="minorEastAsia"/>
          <w:color w:val="000000"/>
          <w:szCs w:val="21"/>
        </w:rPr>
      </w:pPr>
      <w:bookmarkStart w:id="9" w:name="_Toc376522147"/>
      <w:r>
        <w:rPr>
          <w:rFonts w:hint="eastAsia" w:asciiTheme="minorEastAsia" w:hAnsiTheme="minorEastAsia" w:eastAsiaTheme="minorEastAsia" w:cstheme="minorEastAsia"/>
          <w:color w:val="000000"/>
          <w:szCs w:val="21"/>
        </w:rPr>
        <w:t>八、</w:t>
      </w:r>
      <w:bookmarkEnd w:id="9"/>
      <w:r>
        <w:rPr>
          <w:rFonts w:hint="eastAsia" w:asciiTheme="minorEastAsia" w:hAnsiTheme="minorEastAsia" w:eastAsiaTheme="minorEastAsia" w:cstheme="minorEastAsia"/>
          <w:color w:val="000000"/>
          <w:szCs w:val="21"/>
        </w:rPr>
        <w:t>签订合同</w:t>
      </w:r>
    </w:p>
    <w:p w14:paraId="5C9A331F">
      <w:pPr>
        <w:spacing w:line="360" w:lineRule="auto"/>
        <w:ind w:firstLine="420" w:firstLineChars="20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项目竞谈结束后2日内确定成交方。</w:t>
      </w:r>
    </w:p>
    <w:p w14:paraId="22A826D9">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1、成交方应按相关通知规定的时间、地点与竞谈组织方签订成交合同，否则按竞谈有效期内撤回竞谈处理。</w:t>
      </w:r>
    </w:p>
    <w:p w14:paraId="27E70C9B">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2、竞谈文件及评审过程中的澄清文件、谈判记录、承诺条款均作为合同的附件。</w:t>
      </w:r>
    </w:p>
    <w:p w14:paraId="65DB4B81">
      <w:pPr>
        <w:spacing w:line="360" w:lineRule="auto"/>
        <w:jc w:val="left"/>
        <w:rPr>
          <w:rFonts w:asciiTheme="minorEastAsia" w:hAnsiTheme="minorEastAsia" w:eastAsiaTheme="minorEastAsia" w:cstheme="minorEastAsia"/>
          <w:color w:val="000000"/>
          <w:szCs w:val="21"/>
        </w:rPr>
      </w:pPr>
    </w:p>
    <w:p w14:paraId="28EC92B8">
      <w:pPr>
        <w:spacing w:line="360" w:lineRule="auto"/>
        <w:jc w:val="left"/>
        <w:rPr>
          <w:rFonts w:asciiTheme="minorEastAsia" w:hAnsiTheme="minorEastAsia" w:eastAsiaTheme="minorEastAsia" w:cstheme="minorEastAsia"/>
          <w:color w:val="000000"/>
          <w:szCs w:val="21"/>
        </w:rPr>
      </w:pPr>
    </w:p>
    <w:p w14:paraId="4CB772EC">
      <w:pPr>
        <w:pStyle w:val="2"/>
        <w:ind w:firstLine="0" w:firstLineChars="0"/>
        <w:rPr>
          <w:lang w:eastAsia="zh-CN" w:bidi="ar-SA"/>
        </w:rPr>
      </w:pPr>
    </w:p>
    <w:p w14:paraId="5A7AD06D">
      <w:pPr>
        <w:numPr>
          <w:ilvl w:val="0"/>
          <w:numId w:val="3"/>
        </w:numPr>
        <w:spacing w:line="360" w:lineRule="auto"/>
        <w:jc w:val="center"/>
        <w:rPr>
          <w:rFonts w:ascii="黑体" w:hAnsi="黑体" w:eastAsia="黑体" w:cs="黑体"/>
          <w:sz w:val="24"/>
        </w:rPr>
      </w:pPr>
      <w:r>
        <w:rPr>
          <w:rFonts w:hint="eastAsia" w:ascii="黑体" w:hAnsi="黑体" w:eastAsia="黑体" w:cs="黑体"/>
          <w:sz w:val="24"/>
        </w:rPr>
        <w:t>项目技术要求</w:t>
      </w:r>
    </w:p>
    <w:p w14:paraId="008FE75A">
      <w:pPr>
        <w:pStyle w:val="2"/>
        <w:ind w:firstLine="210"/>
        <w:rPr>
          <w:lang w:eastAsia="zh-CN" w:bidi="ar-SA"/>
        </w:rPr>
      </w:pPr>
    </w:p>
    <w:p w14:paraId="349ACB20">
      <w:pPr>
        <w:pStyle w:val="30"/>
        <w:numPr>
          <w:ilvl w:val="0"/>
          <w:numId w:val="4"/>
        </w:numPr>
      </w:pPr>
      <w:r>
        <w:rPr>
          <w:rFonts w:hint="eastAsia"/>
        </w:rPr>
        <w:t>钣金自动喷涂线项目技术要求</w:t>
      </w:r>
    </w:p>
    <w:p w14:paraId="4692F5BD">
      <w:pPr>
        <w:pStyle w:val="30"/>
        <w:numPr>
          <w:ilvl w:val="0"/>
          <w:numId w:val="5"/>
        </w:numPr>
      </w:pPr>
      <w:r>
        <w:rPr>
          <w:rFonts w:hint="eastAsia"/>
        </w:rPr>
        <w:t>主要技术参数：</w:t>
      </w:r>
    </w:p>
    <w:tbl>
      <w:tblPr>
        <w:tblStyle w:val="21"/>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5386"/>
        <w:gridCol w:w="2268"/>
      </w:tblGrid>
      <w:tr w14:paraId="2ADD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Align w:val="center"/>
          </w:tcPr>
          <w:p w14:paraId="36633987">
            <w:pPr>
              <w:pStyle w:val="3"/>
              <w:jc w:val="center"/>
              <w:rPr>
                <w:b/>
                <w:bCs/>
                <w:sz w:val="24"/>
                <w:szCs w:val="24"/>
              </w:rPr>
            </w:pPr>
            <w:r>
              <w:rPr>
                <w:rFonts w:hint="eastAsia"/>
                <w:b/>
                <w:bCs/>
                <w:sz w:val="24"/>
                <w:szCs w:val="24"/>
              </w:rPr>
              <w:t>名称</w:t>
            </w:r>
          </w:p>
        </w:tc>
        <w:tc>
          <w:tcPr>
            <w:tcW w:w="5386" w:type="dxa"/>
            <w:vAlign w:val="center"/>
          </w:tcPr>
          <w:p w14:paraId="17A2D307">
            <w:pPr>
              <w:pStyle w:val="3"/>
              <w:jc w:val="center"/>
              <w:rPr>
                <w:b/>
                <w:bCs/>
                <w:sz w:val="24"/>
                <w:szCs w:val="24"/>
              </w:rPr>
            </w:pPr>
            <w:r>
              <w:rPr>
                <w:rFonts w:hint="eastAsia"/>
                <w:b/>
                <w:bCs/>
                <w:sz w:val="24"/>
                <w:szCs w:val="24"/>
              </w:rPr>
              <w:t>设计要求</w:t>
            </w:r>
          </w:p>
        </w:tc>
        <w:tc>
          <w:tcPr>
            <w:tcW w:w="2268" w:type="dxa"/>
            <w:vAlign w:val="center"/>
          </w:tcPr>
          <w:p w14:paraId="5C8664FF">
            <w:pPr>
              <w:pStyle w:val="3"/>
              <w:jc w:val="center"/>
              <w:rPr>
                <w:b/>
                <w:bCs/>
                <w:sz w:val="24"/>
                <w:szCs w:val="24"/>
              </w:rPr>
            </w:pPr>
            <w:r>
              <w:rPr>
                <w:rFonts w:hint="eastAsia"/>
                <w:b/>
                <w:bCs/>
                <w:sz w:val="24"/>
                <w:szCs w:val="24"/>
              </w:rPr>
              <w:t>备注</w:t>
            </w:r>
          </w:p>
        </w:tc>
      </w:tr>
      <w:tr w14:paraId="610D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restart"/>
            <w:vAlign w:val="center"/>
          </w:tcPr>
          <w:p w14:paraId="09B7F5C1">
            <w:pPr>
              <w:pStyle w:val="3"/>
              <w:jc w:val="center"/>
              <w:rPr>
                <w:rFonts w:asciiTheme="minorEastAsia" w:hAnsiTheme="minorEastAsia" w:eastAsiaTheme="minorEastAsia"/>
                <w:b/>
                <w:bCs/>
                <w:sz w:val="21"/>
                <w:szCs w:val="21"/>
                <w:lang w:eastAsia="zh-CN"/>
              </w:rPr>
            </w:pPr>
            <w:r>
              <w:rPr>
                <w:rFonts w:hint="eastAsia" w:asciiTheme="minorEastAsia" w:hAnsiTheme="minorEastAsia" w:eastAsiaTheme="minorEastAsia"/>
                <w:b/>
                <w:bCs/>
                <w:sz w:val="21"/>
                <w:szCs w:val="21"/>
              </w:rPr>
              <w:t>一、</w:t>
            </w:r>
            <w:r>
              <w:rPr>
                <w:rFonts w:hint="eastAsia" w:asciiTheme="minorEastAsia" w:hAnsiTheme="minorEastAsia" w:eastAsiaTheme="minorEastAsia"/>
                <w:b/>
                <w:bCs/>
                <w:sz w:val="21"/>
                <w:szCs w:val="21"/>
                <w:lang w:eastAsia="zh-CN"/>
              </w:rPr>
              <w:t>基本参数</w:t>
            </w:r>
          </w:p>
        </w:tc>
        <w:tc>
          <w:tcPr>
            <w:tcW w:w="5386" w:type="dxa"/>
            <w:vAlign w:val="center"/>
          </w:tcPr>
          <w:p w14:paraId="715BB138">
            <w:pPr>
              <w:pStyle w:val="3"/>
              <w:spacing w:before="0" w:line="500" w:lineRule="exact"/>
              <w:rPr>
                <w:sz w:val="21"/>
                <w:szCs w:val="21"/>
                <w:lang w:eastAsia="zh-CN"/>
              </w:rPr>
            </w:pPr>
            <w:r>
              <w:rPr>
                <w:rFonts w:hint="eastAsia"/>
                <w:sz w:val="21"/>
                <w:szCs w:val="21"/>
                <w:lang w:eastAsia="zh-CN"/>
              </w:rPr>
              <w:t>1、工件最大通过尺寸：</w:t>
            </w:r>
            <w:r>
              <w:rPr>
                <w:sz w:val="21"/>
                <w:szCs w:val="21"/>
                <w:lang w:eastAsia="zh-CN"/>
              </w:rPr>
              <w:t>L800</w:t>
            </w:r>
            <w:r>
              <w:rPr>
                <w:rFonts w:hint="eastAsia"/>
                <w:sz w:val="21"/>
                <w:szCs w:val="21"/>
                <w:lang w:eastAsia="zh-CN"/>
              </w:rPr>
              <w:t>×</w:t>
            </w:r>
            <w:r>
              <w:rPr>
                <w:sz w:val="21"/>
                <w:szCs w:val="21"/>
                <w:lang w:eastAsia="zh-CN"/>
              </w:rPr>
              <w:t>W</w:t>
            </w:r>
            <w:r>
              <w:rPr>
                <w:rFonts w:hint="eastAsia"/>
                <w:sz w:val="21"/>
                <w:szCs w:val="21"/>
                <w:lang w:val="en-US" w:eastAsia="zh-CN"/>
              </w:rPr>
              <w:t>50</w:t>
            </w:r>
            <w:r>
              <w:rPr>
                <w:sz w:val="21"/>
                <w:szCs w:val="21"/>
                <w:lang w:eastAsia="zh-CN"/>
              </w:rPr>
              <w:t>0</w:t>
            </w:r>
            <w:r>
              <w:rPr>
                <w:rFonts w:hint="eastAsia"/>
                <w:sz w:val="21"/>
                <w:szCs w:val="21"/>
                <w:lang w:eastAsia="zh-CN"/>
              </w:rPr>
              <w:t>×</w:t>
            </w:r>
            <w:r>
              <w:rPr>
                <w:sz w:val="21"/>
                <w:szCs w:val="21"/>
                <w:lang w:eastAsia="zh-CN"/>
              </w:rPr>
              <w:t>H</w:t>
            </w:r>
            <w:r>
              <w:rPr>
                <w:rFonts w:hint="eastAsia"/>
                <w:sz w:val="21"/>
                <w:szCs w:val="21"/>
                <w:lang w:val="en-US" w:eastAsia="zh-CN"/>
              </w:rPr>
              <w:t>15</w:t>
            </w:r>
            <w:r>
              <w:rPr>
                <w:sz w:val="21"/>
                <w:szCs w:val="21"/>
                <w:lang w:eastAsia="zh-CN"/>
              </w:rPr>
              <w:t>00</w:t>
            </w:r>
            <w:r>
              <w:rPr>
                <w:rFonts w:hint="eastAsia"/>
                <w:sz w:val="21"/>
                <w:szCs w:val="21"/>
                <w:lang w:eastAsia="zh-CN"/>
              </w:rPr>
              <w:t>mm。</w:t>
            </w:r>
          </w:p>
        </w:tc>
        <w:tc>
          <w:tcPr>
            <w:tcW w:w="2268" w:type="dxa"/>
          </w:tcPr>
          <w:p w14:paraId="65AAB5D1">
            <w:pPr>
              <w:pStyle w:val="3"/>
              <w:rPr>
                <w:sz w:val="24"/>
                <w:szCs w:val="24"/>
                <w:lang w:eastAsia="zh-CN"/>
              </w:rPr>
            </w:pPr>
          </w:p>
        </w:tc>
      </w:tr>
      <w:tr w14:paraId="6510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7868DBFE">
            <w:pPr>
              <w:pStyle w:val="3"/>
              <w:jc w:val="center"/>
              <w:rPr>
                <w:rFonts w:asciiTheme="minorEastAsia" w:hAnsiTheme="minorEastAsia" w:eastAsiaTheme="minorEastAsia"/>
                <w:b/>
                <w:bCs/>
                <w:sz w:val="21"/>
                <w:szCs w:val="21"/>
                <w:lang w:eastAsia="zh-CN"/>
              </w:rPr>
            </w:pPr>
          </w:p>
        </w:tc>
        <w:tc>
          <w:tcPr>
            <w:tcW w:w="5386" w:type="dxa"/>
            <w:vAlign w:val="center"/>
          </w:tcPr>
          <w:p w14:paraId="69CC9EE0">
            <w:pPr>
              <w:pStyle w:val="3"/>
              <w:spacing w:before="0" w:line="500" w:lineRule="exact"/>
              <w:rPr>
                <w:rFonts w:hint="eastAsia" w:eastAsia="仿宋"/>
                <w:sz w:val="21"/>
                <w:szCs w:val="21"/>
                <w:lang w:eastAsia="zh-CN"/>
              </w:rPr>
            </w:pPr>
            <w:r>
              <w:rPr>
                <w:rFonts w:hint="eastAsia"/>
                <w:sz w:val="21"/>
                <w:szCs w:val="21"/>
                <w:lang w:eastAsia="zh-CN"/>
              </w:rPr>
              <w:t>2、工件最大重量：</w:t>
            </w:r>
            <w:r>
              <w:rPr>
                <w:rFonts w:ascii="Arial" w:hAnsi="Arial" w:eastAsia="仿宋" w:cs="Arial"/>
                <w:sz w:val="24"/>
                <w:szCs w:val="24"/>
              </w:rPr>
              <w:t>≥</w:t>
            </w:r>
            <w:r>
              <w:rPr>
                <w:rFonts w:hint="eastAsia" w:ascii="仿宋" w:hAnsi="仿宋" w:eastAsia="仿宋" w:cs="仿宋_GB2312"/>
                <w:sz w:val="24"/>
                <w:szCs w:val="24"/>
              </w:rPr>
              <w:t>50Kg</w:t>
            </w:r>
            <w:r>
              <w:rPr>
                <w:rFonts w:hint="eastAsia" w:ascii="仿宋" w:hAnsi="仿宋" w:eastAsia="仿宋" w:cs="仿宋_GB2312"/>
                <w:sz w:val="24"/>
                <w:szCs w:val="24"/>
                <w:lang w:eastAsia="zh-CN"/>
              </w:rPr>
              <w:t>。</w:t>
            </w:r>
          </w:p>
        </w:tc>
        <w:tc>
          <w:tcPr>
            <w:tcW w:w="2268" w:type="dxa"/>
          </w:tcPr>
          <w:p w14:paraId="69F7DE19">
            <w:pPr>
              <w:pStyle w:val="3"/>
              <w:rPr>
                <w:sz w:val="24"/>
                <w:szCs w:val="24"/>
              </w:rPr>
            </w:pPr>
          </w:p>
        </w:tc>
      </w:tr>
      <w:tr w14:paraId="4483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41359140">
            <w:pPr>
              <w:pStyle w:val="3"/>
              <w:jc w:val="center"/>
              <w:rPr>
                <w:rFonts w:asciiTheme="minorEastAsia" w:hAnsiTheme="minorEastAsia" w:eastAsiaTheme="minorEastAsia"/>
                <w:b/>
                <w:bCs/>
                <w:sz w:val="21"/>
                <w:szCs w:val="21"/>
                <w:lang w:eastAsia="zh-CN"/>
              </w:rPr>
            </w:pPr>
          </w:p>
        </w:tc>
        <w:tc>
          <w:tcPr>
            <w:tcW w:w="5386" w:type="dxa"/>
            <w:vAlign w:val="center"/>
          </w:tcPr>
          <w:p w14:paraId="3F122C8D">
            <w:pPr>
              <w:pStyle w:val="3"/>
              <w:spacing w:before="0" w:line="500" w:lineRule="exact"/>
              <w:rPr>
                <w:sz w:val="21"/>
                <w:szCs w:val="21"/>
                <w:lang w:eastAsia="zh-CN"/>
              </w:rPr>
            </w:pPr>
            <w:r>
              <w:rPr>
                <w:rFonts w:hint="eastAsia"/>
                <w:sz w:val="21"/>
                <w:szCs w:val="21"/>
                <w:lang w:eastAsia="zh-CN"/>
              </w:rPr>
              <w:t>3、工艺链速：</w:t>
            </w:r>
            <w:r>
              <w:rPr>
                <w:rFonts w:hint="eastAsia"/>
                <w:sz w:val="21"/>
                <w:szCs w:val="21"/>
                <w:lang w:val="en-US" w:eastAsia="zh-CN"/>
              </w:rPr>
              <w:t>6</w:t>
            </w:r>
            <w:r>
              <w:rPr>
                <w:rFonts w:hint="eastAsia"/>
                <w:sz w:val="21"/>
                <w:szCs w:val="21"/>
                <w:lang w:eastAsia="zh-CN"/>
              </w:rPr>
              <w:t>m/min（</w:t>
            </w:r>
            <w:r>
              <w:rPr>
                <w:rFonts w:hint="eastAsia"/>
                <w:sz w:val="21"/>
                <w:szCs w:val="21"/>
                <w:lang w:val="en-US" w:eastAsia="zh-CN"/>
              </w:rPr>
              <w:t>2</w:t>
            </w:r>
            <w:r>
              <w:rPr>
                <w:rFonts w:hint="eastAsia"/>
                <w:sz w:val="21"/>
                <w:szCs w:val="21"/>
                <w:lang w:eastAsia="zh-CN"/>
              </w:rPr>
              <w:t>-</w:t>
            </w:r>
            <w:r>
              <w:rPr>
                <w:rFonts w:hint="eastAsia"/>
                <w:sz w:val="21"/>
                <w:szCs w:val="21"/>
                <w:lang w:val="en-US" w:eastAsia="zh-CN"/>
              </w:rPr>
              <w:t>8</w:t>
            </w:r>
            <w:r>
              <w:rPr>
                <w:rFonts w:hint="eastAsia"/>
                <w:sz w:val="21"/>
                <w:szCs w:val="21"/>
                <w:lang w:eastAsia="zh-CN"/>
              </w:rPr>
              <w:t>m可调）。</w:t>
            </w:r>
          </w:p>
        </w:tc>
        <w:tc>
          <w:tcPr>
            <w:tcW w:w="2268" w:type="dxa"/>
          </w:tcPr>
          <w:p w14:paraId="3743F111">
            <w:pPr>
              <w:pStyle w:val="3"/>
              <w:rPr>
                <w:sz w:val="24"/>
                <w:szCs w:val="24"/>
                <w:lang w:eastAsia="zh-CN"/>
              </w:rPr>
            </w:pPr>
          </w:p>
        </w:tc>
      </w:tr>
      <w:tr w14:paraId="4DA2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16874130">
            <w:pPr>
              <w:pStyle w:val="3"/>
              <w:jc w:val="center"/>
              <w:rPr>
                <w:rFonts w:asciiTheme="minorEastAsia" w:hAnsiTheme="minorEastAsia" w:eastAsiaTheme="minorEastAsia"/>
                <w:b/>
                <w:bCs/>
                <w:sz w:val="21"/>
                <w:szCs w:val="21"/>
                <w:lang w:eastAsia="zh-CN"/>
              </w:rPr>
            </w:pPr>
          </w:p>
        </w:tc>
        <w:tc>
          <w:tcPr>
            <w:tcW w:w="5386" w:type="dxa"/>
            <w:vAlign w:val="center"/>
          </w:tcPr>
          <w:p w14:paraId="5DDC7EB1">
            <w:pPr>
              <w:pStyle w:val="3"/>
              <w:spacing w:before="0" w:line="500" w:lineRule="exact"/>
              <w:rPr>
                <w:sz w:val="21"/>
                <w:szCs w:val="21"/>
                <w:lang w:eastAsia="zh-CN"/>
              </w:rPr>
            </w:pPr>
            <w:r>
              <w:rPr>
                <w:rFonts w:hint="eastAsia"/>
                <w:sz w:val="21"/>
                <w:szCs w:val="21"/>
                <w:lang w:eastAsia="zh-CN"/>
              </w:rPr>
              <w:t>4、加热能源：天然气。</w:t>
            </w:r>
          </w:p>
        </w:tc>
        <w:tc>
          <w:tcPr>
            <w:tcW w:w="2268" w:type="dxa"/>
          </w:tcPr>
          <w:p w14:paraId="6EF5253D">
            <w:pPr>
              <w:pStyle w:val="3"/>
              <w:rPr>
                <w:sz w:val="24"/>
                <w:szCs w:val="24"/>
                <w:lang w:eastAsia="zh-CN"/>
              </w:rPr>
            </w:pPr>
          </w:p>
        </w:tc>
      </w:tr>
      <w:tr w14:paraId="509D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6F071C99">
            <w:pPr>
              <w:pStyle w:val="3"/>
              <w:jc w:val="center"/>
              <w:rPr>
                <w:rFonts w:asciiTheme="minorEastAsia" w:hAnsiTheme="minorEastAsia" w:eastAsiaTheme="minorEastAsia"/>
                <w:b/>
                <w:bCs/>
                <w:sz w:val="21"/>
                <w:szCs w:val="21"/>
                <w:lang w:eastAsia="zh-CN"/>
              </w:rPr>
            </w:pPr>
          </w:p>
        </w:tc>
        <w:tc>
          <w:tcPr>
            <w:tcW w:w="5386" w:type="dxa"/>
            <w:vAlign w:val="center"/>
          </w:tcPr>
          <w:p w14:paraId="7EE1179C">
            <w:pPr>
              <w:pStyle w:val="3"/>
              <w:spacing w:before="0" w:line="500" w:lineRule="exact"/>
              <w:rPr>
                <w:sz w:val="21"/>
                <w:szCs w:val="21"/>
                <w:lang w:eastAsia="zh-CN"/>
              </w:rPr>
            </w:pPr>
            <w:r>
              <w:rPr>
                <w:rFonts w:hint="eastAsia"/>
                <w:sz w:val="21"/>
                <w:szCs w:val="21"/>
                <w:lang w:eastAsia="zh-CN"/>
              </w:rPr>
              <w:t>5、前处理类型：全喷淋式。</w:t>
            </w:r>
          </w:p>
        </w:tc>
        <w:tc>
          <w:tcPr>
            <w:tcW w:w="2268" w:type="dxa"/>
          </w:tcPr>
          <w:p w14:paraId="1C53A998">
            <w:pPr>
              <w:pStyle w:val="3"/>
              <w:rPr>
                <w:sz w:val="24"/>
                <w:szCs w:val="24"/>
                <w:lang w:eastAsia="zh-CN"/>
              </w:rPr>
            </w:pPr>
          </w:p>
        </w:tc>
      </w:tr>
      <w:tr w14:paraId="2FD8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0E89BFE6">
            <w:pPr>
              <w:pStyle w:val="3"/>
              <w:jc w:val="center"/>
              <w:rPr>
                <w:rFonts w:asciiTheme="minorEastAsia" w:hAnsiTheme="minorEastAsia" w:eastAsiaTheme="minorEastAsia"/>
                <w:b/>
                <w:bCs/>
                <w:sz w:val="21"/>
                <w:szCs w:val="21"/>
                <w:lang w:eastAsia="zh-CN"/>
              </w:rPr>
            </w:pPr>
          </w:p>
        </w:tc>
        <w:tc>
          <w:tcPr>
            <w:tcW w:w="5386" w:type="dxa"/>
            <w:vAlign w:val="center"/>
          </w:tcPr>
          <w:p w14:paraId="559398BF">
            <w:pPr>
              <w:pStyle w:val="3"/>
              <w:spacing w:before="0" w:line="500" w:lineRule="exact"/>
              <w:rPr>
                <w:sz w:val="21"/>
                <w:szCs w:val="21"/>
                <w:lang w:eastAsia="zh-CN"/>
              </w:rPr>
            </w:pPr>
            <w:r>
              <w:rPr>
                <w:rFonts w:hint="eastAsia"/>
                <w:sz w:val="21"/>
                <w:szCs w:val="21"/>
                <w:lang w:eastAsia="zh-CN"/>
              </w:rPr>
              <w:t>7、前处理加热方式：炉内盘管循环加热。</w:t>
            </w:r>
          </w:p>
        </w:tc>
        <w:tc>
          <w:tcPr>
            <w:tcW w:w="2268" w:type="dxa"/>
          </w:tcPr>
          <w:p w14:paraId="1A57A816">
            <w:pPr>
              <w:pStyle w:val="3"/>
              <w:rPr>
                <w:sz w:val="24"/>
                <w:szCs w:val="24"/>
                <w:lang w:eastAsia="zh-CN"/>
              </w:rPr>
            </w:pPr>
          </w:p>
        </w:tc>
      </w:tr>
      <w:tr w14:paraId="5561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113E0EC1">
            <w:pPr>
              <w:pStyle w:val="3"/>
              <w:jc w:val="center"/>
              <w:rPr>
                <w:rFonts w:asciiTheme="minorEastAsia" w:hAnsiTheme="minorEastAsia" w:eastAsiaTheme="minorEastAsia"/>
                <w:b/>
                <w:bCs/>
                <w:sz w:val="21"/>
                <w:szCs w:val="21"/>
                <w:lang w:eastAsia="zh-CN"/>
              </w:rPr>
            </w:pPr>
          </w:p>
        </w:tc>
        <w:tc>
          <w:tcPr>
            <w:tcW w:w="5386" w:type="dxa"/>
            <w:vAlign w:val="center"/>
          </w:tcPr>
          <w:p w14:paraId="14C8C900">
            <w:pPr>
              <w:pStyle w:val="3"/>
              <w:spacing w:before="0" w:line="500" w:lineRule="exact"/>
              <w:rPr>
                <w:sz w:val="21"/>
                <w:szCs w:val="21"/>
                <w:lang w:eastAsia="zh-CN"/>
              </w:rPr>
            </w:pPr>
            <w:r>
              <w:rPr>
                <w:rFonts w:hint="eastAsia"/>
                <w:sz w:val="21"/>
                <w:szCs w:val="21"/>
                <w:lang w:eastAsia="zh-CN"/>
              </w:rPr>
              <w:t>8、粉房类型：大旋风粉房。</w:t>
            </w:r>
          </w:p>
        </w:tc>
        <w:tc>
          <w:tcPr>
            <w:tcW w:w="2268" w:type="dxa"/>
          </w:tcPr>
          <w:p w14:paraId="75D3B207">
            <w:pPr>
              <w:pStyle w:val="3"/>
              <w:rPr>
                <w:sz w:val="24"/>
                <w:szCs w:val="24"/>
                <w:lang w:eastAsia="zh-CN"/>
              </w:rPr>
            </w:pPr>
          </w:p>
        </w:tc>
      </w:tr>
      <w:tr w14:paraId="277C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restart"/>
            <w:vAlign w:val="center"/>
          </w:tcPr>
          <w:p w14:paraId="5F8C9F34">
            <w:pPr>
              <w:pStyle w:val="3"/>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二、前处理工艺</w:t>
            </w:r>
          </w:p>
        </w:tc>
        <w:tc>
          <w:tcPr>
            <w:tcW w:w="5386" w:type="dxa"/>
            <w:vAlign w:val="center"/>
          </w:tcPr>
          <w:p w14:paraId="30C4846E">
            <w:pPr>
              <w:pStyle w:val="3"/>
              <w:spacing w:before="0" w:line="500" w:lineRule="exact"/>
              <w:rPr>
                <w:sz w:val="21"/>
                <w:szCs w:val="21"/>
                <w:lang w:eastAsia="zh-CN"/>
              </w:rPr>
            </w:pPr>
            <w:r>
              <w:rPr>
                <w:rFonts w:hint="eastAsia"/>
                <w:sz w:val="21"/>
                <w:szCs w:val="21"/>
                <w:lang w:eastAsia="zh-CN"/>
              </w:rPr>
              <w:t>1、喷淋前处理工艺：热水洗喷淋（30S）—预脱脂喷淋（60S）—主脱脂喷淋（</w:t>
            </w:r>
            <w:r>
              <w:rPr>
                <w:rFonts w:hint="eastAsia"/>
                <w:sz w:val="21"/>
                <w:szCs w:val="21"/>
                <w:lang w:val="en-US" w:eastAsia="zh-CN"/>
              </w:rPr>
              <w:t>120S</w:t>
            </w:r>
            <w:r>
              <w:rPr>
                <w:rFonts w:hint="eastAsia"/>
                <w:sz w:val="21"/>
                <w:szCs w:val="21"/>
                <w:lang w:eastAsia="zh-CN"/>
              </w:rPr>
              <w:t>）—水洗1喷淋（30S）—水洗2喷淋（30S）—陶化喷淋（</w:t>
            </w:r>
            <w:r>
              <w:rPr>
                <w:rFonts w:hint="eastAsia"/>
                <w:sz w:val="21"/>
                <w:szCs w:val="21"/>
                <w:lang w:val="en-US" w:eastAsia="zh-CN"/>
              </w:rPr>
              <w:t>120S</w:t>
            </w:r>
            <w:r>
              <w:rPr>
                <w:rFonts w:hint="eastAsia"/>
                <w:sz w:val="21"/>
                <w:szCs w:val="21"/>
                <w:lang w:eastAsia="zh-CN"/>
              </w:rPr>
              <w:t>）—水洗3喷淋（30S）—</w:t>
            </w:r>
            <w:r>
              <w:rPr>
                <w:rFonts w:hint="eastAsia"/>
                <w:sz w:val="21"/>
                <w:szCs w:val="21"/>
                <w:lang w:val="en-US" w:eastAsia="zh-CN"/>
              </w:rPr>
              <w:t>水洗4</w:t>
            </w:r>
            <w:r>
              <w:rPr>
                <w:rFonts w:hint="eastAsia"/>
                <w:sz w:val="21"/>
                <w:szCs w:val="21"/>
                <w:lang w:eastAsia="zh-CN"/>
              </w:rPr>
              <w:t>（30S）。</w:t>
            </w:r>
          </w:p>
        </w:tc>
        <w:tc>
          <w:tcPr>
            <w:tcW w:w="2268" w:type="dxa"/>
            <w:vAlign w:val="center"/>
          </w:tcPr>
          <w:p w14:paraId="7E193112">
            <w:pPr>
              <w:pStyle w:val="3"/>
              <w:jc w:val="center"/>
              <w:rPr>
                <w:sz w:val="24"/>
                <w:szCs w:val="24"/>
                <w:lang w:eastAsia="zh-CN"/>
              </w:rPr>
            </w:pPr>
          </w:p>
        </w:tc>
      </w:tr>
      <w:tr w14:paraId="3438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38D23458">
            <w:pPr>
              <w:pStyle w:val="3"/>
              <w:jc w:val="center"/>
              <w:rPr>
                <w:rFonts w:asciiTheme="minorEastAsia" w:hAnsiTheme="minorEastAsia" w:eastAsiaTheme="minorEastAsia"/>
                <w:b/>
                <w:bCs/>
                <w:sz w:val="21"/>
                <w:szCs w:val="21"/>
                <w:lang w:eastAsia="zh-CN"/>
              </w:rPr>
            </w:pPr>
          </w:p>
        </w:tc>
        <w:tc>
          <w:tcPr>
            <w:tcW w:w="5386" w:type="dxa"/>
            <w:vAlign w:val="center"/>
          </w:tcPr>
          <w:p w14:paraId="732EF61F">
            <w:pPr>
              <w:pStyle w:val="3"/>
              <w:spacing w:before="0" w:line="500" w:lineRule="exact"/>
              <w:rPr>
                <w:sz w:val="21"/>
                <w:szCs w:val="21"/>
                <w:lang w:eastAsia="zh-CN"/>
              </w:rPr>
            </w:pPr>
            <w:r>
              <w:rPr>
                <w:rFonts w:hint="eastAsia"/>
                <w:sz w:val="21"/>
                <w:szCs w:val="21"/>
                <w:lang w:eastAsia="zh-CN"/>
              </w:rPr>
              <w:t>2、工艺温度：热水洗（30-60℃）其余常温。</w:t>
            </w:r>
          </w:p>
        </w:tc>
        <w:tc>
          <w:tcPr>
            <w:tcW w:w="2268" w:type="dxa"/>
            <w:vAlign w:val="center"/>
          </w:tcPr>
          <w:p w14:paraId="6BA50183">
            <w:pPr>
              <w:pStyle w:val="3"/>
              <w:jc w:val="center"/>
              <w:rPr>
                <w:sz w:val="24"/>
                <w:szCs w:val="24"/>
                <w:lang w:eastAsia="zh-CN"/>
              </w:rPr>
            </w:pPr>
          </w:p>
        </w:tc>
      </w:tr>
      <w:tr w14:paraId="7517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63983F18">
            <w:pPr>
              <w:pStyle w:val="3"/>
              <w:jc w:val="center"/>
              <w:rPr>
                <w:rFonts w:asciiTheme="minorEastAsia" w:hAnsiTheme="minorEastAsia" w:eastAsiaTheme="minorEastAsia"/>
                <w:b/>
                <w:bCs/>
                <w:sz w:val="21"/>
                <w:szCs w:val="21"/>
                <w:lang w:eastAsia="zh-CN"/>
              </w:rPr>
            </w:pPr>
          </w:p>
        </w:tc>
        <w:tc>
          <w:tcPr>
            <w:tcW w:w="5386" w:type="dxa"/>
            <w:vAlign w:val="center"/>
          </w:tcPr>
          <w:p w14:paraId="30634DC0">
            <w:pPr>
              <w:pStyle w:val="3"/>
              <w:spacing w:before="0" w:line="500" w:lineRule="exact"/>
              <w:rPr>
                <w:sz w:val="21"/>
                <w:szCs w:val="21"/>
                <w:lang w:eastAsia="zh-CN"/>
              </w:rPr>
            </w:pPr>
            <w:r>
              <w:rPr>
                <w:rFonts w:hint="eastAsia"/>
                <w:sz w:val="21"/>
                <w:szCs w:val="21"/>
                <w:lang w:eastAsia="zh-CN"/>
              </w:rPr>
              <w:t>3、前处理加热：间接加热炉</w:t>
            </w:r>
            <w:r>
              <w:rPr>
                <w:rFonts w:hint="eastAsia" w:ascii="宋体" w:hAnsi="宋体" w:eastAsia="宋体" w:cs="宋体"/>
                <w:sz w:val="21"/>
                <w:szCs w:val="21"/>
                <w:lang w:eastAsia="zh-CN"/>
              </w:rPr>
              <w:t>内304</w:t>
            </w:r>
            <w:r>
              <w:rPr>
                <w:rFonts w:hint="eastAsia"/>
                <w:sz w:val="21"/>
                <w:szCs w:val="21"/>
                <w:lang w:eastAsia="zh-CN"/>
              </w:rPr>
              <w:t>不锈钢盘管加热，</w:t>
            </w:r>
            <w:r>
              <w:rPr>
                <w:rFonts w:hint="eastAsia" w:cs="宋体"/>
                <w:sz w:val="21"/>
                <w:szCs w:val="21"/>
                <w:lang w:val="en-US" w:eastAsia="zh-CN"/>
              </w:rPr>
              <w:t>直径32，</w:t>
            </w:r>
            <w:r>
              <w:rPr>
                <w:rFonts w:hint="eastAsia" w:ascii="宋体" w:hAnsi="宋体" w:eastAsia="宋体" w:cs="宋体"/>
                <w:sz w:val="21"/>
                <w:szCs w:val="21"/>
                <w:lang w:eastAsia="zh-CN"/>
              </w:rPr>
              <w:t>δ</w:t>
            </w:r>
            <w:r>
              <w:rPr>
                <w:rFonts w:hint="eastAsia" w:cs="宋体"/>
                <w:sz w:val="21"/>
                <w:szCs w:val="21"/>
                <w:lang w:val="en-US" w:eastAsia="zh-CN"/>
              </w:rPr>
              <w:t>3</w:t>
            </w:r>
            <w:r>
              <w:rPr>
                <w:rFonts w:hint="eastAsia" w:ascii="宋体" w:hAnsi="宋体" w:eastAsia="宋体" w:cs="宋体"/>
                <w:sz w:val="21"/>
                <w:szCs w:val="21"/>
                <w:lang w:val="en-US" w:eastAsia="zh-CN"/>
              </w:rPr>
              <w:t xml:space="preserve"> </w:t>
            </w:r>
          </w:p>
          <w:p w14:paraId="62B96969">
            <w:pPr>
              <w:pStyle w:val="3"/>
              <w:spacing w:before="0" w:line="500" w:lineRule="exact"/>
              <w:rPr>
                <w:sz w:val="21"/>
                <w:szCs w:val="21"/>
                <w:lang w:eastAsia="zh-CN"/>
              </w:rPr>
            </w:pPr>
            <w:r>
              <w:rPr>
                <w:rFonts w:hint="eastAsia"/>
                <w:sz w:val="21"/>
                <w:szCs w:val="21"/>
                <w:lang w:eastAsia="zh-CN"/>
              </w:rPr>
              <w:t>循环水泵：南方不锈钢卧式泵流量:10m³/h 扬程:18m 功率:1.1KW/h。</w:t>
            </w:r>
          </w:p>
        </w:tc>
        <w:tc>
          <w:tcPr>
            <w:tcW w:w="2268" w:type="dxa"/>
            <w:vAlign w:val="center"/>
          </w:tcPr>
          <w:p w14:paraId="7E0DDE59">
            <w:pPr>
              <w:pStyle w:val="3"/>
              <w:jc w:val="center"/>
              <w:rPr>
                <w:sz w:val="24"/>
                <w:szCs w:val="24"/>
                <w:lang w:eastAsia="zh-CN"/>
              </w:rPr>
            </w:pPr>
          </w:p>
        </w:tc>
      </w:tr>
      <w:tr w14:paraId="2A15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317FA547">
            <w:pPr>
              <w:pStyle w:val="3"/>
              <w:jc w:val="center"/>
              <w:rPr>
                <w:rFonts w:asciiTheme="minorEastAsia" w:hAnsiTheme="minorEastAsia" w:eastAsiaTheme="minorEastAsia"/>
                <w:b/>
                <w:bCs/>
                <w:sz w:val="21"/>
                <w:szCs w:val="21"/>
                <w:lang w:eastAsia="zh-CN"/>
              </w:rPr>
            </w:pPr>
          </w:p>
        </w:tc>
        <w:tc>
          <w:tcPr>
            <w:tcW w:w="5386" w:type="dxa"/>
            <w:vAlign w:val="center"/>
          </w:tcPr>
          <w:p w14:paraId="08F4620C">
            <w:pPr>
              <w:pStyle w:val="3"/>
              <w:spacing w:before="0" w:line="500" w:lineRule="exact"/>
              <w:rPr>
                <w:b/>
                <w:bCs/>
                <w:sz w:val="21"/>
                <w:szCs w:val="21"/>
                <w:lang w:eastAsia="zh-CN"/>
              </w:rPr>
            </w:pPr>
            <w:r>
              <w:rPr>
                <w:rFonts w:hint="eastAsia"/>
                <w:sz w:val="21"/>
                <w:szCs w:val="21"/>
                <w:lang w:eastAsia="zh-CN"/>
              </w:rPr>
              <w:t>4、</w:t>
            </w:r>
            <w:r>
              <w:rPr>
                <w:sz w:val="21"/>
                <w:szCs w:val="21"/>
                <w:lang w:eastAsia="zh-CN"/>
              </w:rPr>
              <w:t>全线棚体平直、整齐、美观，无滴漏现象。前后倾斜分段合理，保证相邻的不同工艺段之间不窜液。热水洗加热段侧板采用双层结构，内侧板采用不锈钢板SUS304/</w:t>
            </w:r>
            <w:r>
              <w:rPr>
                <w:rFonts w:hint="eastAsia"/>
                <w:sz w:val="21"/>
                <w:szCs w:val="21"/>
                <w:lang w:eastAsia="zh-CN"/>
              </w:rPr>
              <w:t>1</w:t>
            </w:r>
            <w:r>
              <w:rPr>
                <w:sz w:val="21"/>
                <w:szCs w:val="21"/>
                <w:lang w:eastAsia="zh-CN"/>
              </w:rPr>
              <w:t>.</w:t>
            </w:r>
            <w:r>
              <w:rPr>
                <w:rFonts w:hint="eastAsia"/>
                <w:sz w:val="21"/>
                <w:szCs w:val="21"/>
                <w:lang w:eastAsia="zh-CN"/>
              </w:rPr>
              <w:t>5</w:t>
            </w:r>
            <w:r>
              <w:rPr>
                <w:sz w:val="21"/>
                <w:szCs w:val="21"/>
                <w:lang w:eastAsia="zh-CN"/>
              </w:rPr>
              <w:t>mm折弯后连续焊</w:t>
            </w:r>
            <w:r>
              <w:rPr>
                <w:rFonts w:hint="eastAsia"/>
                <w:sz w:val="21"/>
                <w:szCs w:val="21"/>
                <w:lang w:eastAsia="zh-CN"/>
              </w:rPr>
              <w:t>，</w:t>
            </w:r>
            <w:r>
              <w:rPr>
                <w:sz w:val="21"/>
                <w:szCs w:val="21"/>
                <w:lang w:eastAsia="zh-CN"/>
              </w:rPr>
              <w:t>外侧板采用</w:t>
            </w:r>
            <w:r>
              <w:rPr>
                <w:rFonts w:hint="eastAsia"/>
                <w:sz w:val="21"/>
                <w:szCs w:val="21"/>
                <w:lang w:eastAsia="zh-CN"/>
              </w:rPr>
              <w:t>拉丝</w:t>
            </w:r>
            <w:r>
              <w:rPr>
                <w:sz w:val="21"/>
                <w:szCs w:val="21"/>
                <w:lang w:eastAsia="zh-CN"/>
              </w:rPr>
              <w:t>不锈钢板SUS304/</w:t>
            </w:r>
            <w:r>
              <w:rPr>
                <w:rFonts w:hint="eastAsia"/>
                <w:sz w:val="21"/>
                <w:szCs w:val="21"/>
                <w:lang w:eastAsia="zh-CN"/>
              </w:rPr>
              <w:t>1.2</w:t>
            </w:r>
            <w:r>
              <w:rPr>
                <w:sz w:val="21"/>
                <w:szCs w:val="21"/>
                <w:lang w:eastAsia="zh-CN"/>
              </w:rPr>
              <w:t>mm插板拼装，内外板之间加装有</w:t>
            </w:r>
            <w:r>
              <w:rPr>
                <w:rFonts w:hint="eastAsia"/>
                <w:sz w:val="21"/>
                <w:szCs w:val="21"/>
                <w:lang w:eastAsia="zh-CN"/>
              </w:rPr>
              <w:t>80K δ50</w:t>
            </w:r>
            <w:r>
              <w:rPr>
                <w:sz w:val="21"/>
                <w:szCs w:val="21"/>
                <w:lang w:eastAsia="zh-CN"/>
              </w:rPr>
              <w:t>岩棉。其余各喷淋段和过度段侧板为单层结构，采用不锈钢板SUS304/</w:t>
            </w:r>
            <w:r>
              <w:rPr>
                <w:rFonts w:hint="eastAsia"/>
                <w:sz w:val="21"/>
                <w:szCs w:val="21"/>
                <w:lang w:eastAsia="zh-CN"/>
              </w:rPr>
              <w:t>1</w:t>
            </w:r>
            <w:r>
              <w:rPr>
                <w:sz w:val="21"/>
                <w:szCs w:val="21"/>
                <w:lang w:eastAsia="zh-CN"/>
              </w:rPr>
              <w:t>.</w:t>
            </w:r>
            <w:r>
              <w:rPr>
                <w:rFonts w:hint="eastAsia"/>
                <w:sz w:val="21"/>
                <w:szCs w:val="21"/>
                <w:lang w:eastAsia="zh-CN"/>
              </w:rPr>
              <w:t>5</w:t>
            </w:r>
            <w:r>
              <w:rPr>
                <w:sz w:val="21"/>
                <w:szCs w:val="21"/>
                <w:lang w:eastAsia="zh-CN"/>
              </w:rPr>
              <w:t>mm折弯后连续焊。所有顶板采用单层不锈钢板SUS304/1.5mm折弯后连续焊。底部淌水板采用单层不锈钢板SUS304 /2.</w:t>
            </w:r>
            <w:r>
              <w:rPr>
                <w:rFonts w:hint="eastAsia"/>
                <w:sz w:val="21"/>
                <w:szCs w:val="21"/>
                <w:lang w:eastAsia="zh-CN"/>
              </w:rPr>
              <w:t>0</w:t>
            </w:r>
            <w:r>
              <w:rPr>
                <w:sz w:val="21"/>
                <w:szCs w:val="21"/>
                <w:lang w:eastAsia="zh-CN"/>
              </w:rPr>
              <w:t>mm折弯后连续焊</w:t>
            </w:r>
            <w:r>
              <w:rPr>
                <w:rFonts w:hint="eastAsia"/>
                <w:sz w:val="21"/>
                <w:szCs w:val="21"/>
                <w:lang w:eastAsia="zh-CN"/>
              </w:rPr>
              <w:t>，底板加强筋40×40×δ2.0 方通，底架150×50×δ2.0 扁通，链条支架采用80×40×2.0扁通，40×40×2.0 方通</w:t>
            </w:r>
            <w:r>
              <w:rPr>
                <w:rFonts w:hint="eastAsia"/>
                <w:szCs w:val="21"/>
                <w:lang w:eastAsia="zh-CN"/>
              </w:rPr>
              <w:t>。</w:t>
            </w:r>
          </w:p>
        </w:tc>
        <w:tc>
          <w:tcPr>
            <w:tcW w:w="2268" w:type="dxa"/>
            <w:vAlign w:val="center"/>
          </w:tcPr>
          <w:p w14:paraId="22622441">
            <w:pPr>
              <w:pStyle w:val="3"/>
              <w:jc w:val="center"/>
              <w:rPr>
                <w:sz w:val="24"/>
                <w:szCs w:val="24"/>
                <w:lang w:eastAsia="zh-CN"/>
              </w:rPr>
            </w:pPr>
          </w:p>
        </w:tc>
      </w:tr>
      <w:tr w14:paraId="0F81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6D5A57E9">
            <w:pPr>
              <w:pStyle w:val="3"/>
              <w:jc w:val="center"/>
              <w:rPr>
                <w:rFonts w:asciiTheme="minorEastAsia" w:hAnsiTheme="minorEastAsia" w:eastAsiaTheme="minorEastAsia"/>
                <w:b/>
                <w:bCs/>
                <w:sz w:val="21"/>
                <w:szCs w:val="21"/>
                <w:lang w:eastAsia="zh-CN"/>
              </w:rPr>
            </w:pPr>
          </w:p>
        </w:tc>
        <w:tc>
          <w:tcPr>
            <w:tcW w:w="5386" w:type="dxa"/>
            <w:vAlign w:val="center"/>
          </w:tcPr>
          <w:p w14:paraId="3DEB71B1">
            <w:pPr>
              <w:pStyle w:val="3"/>
              <w:spacing w:before="0" w:line="500" w:lineRule="exact"/>
              <w:rPr>
                <w:sz w:val="21"/>
                <w:szCs w:val="21"/>
                <w:lang w:eastAsia="zh-CN"/>
              </w:rPr>
            </w:pPr>
            <w:r>
              <w:rPr>
                <w:rFonts w:hint="eastAsia"/>
                <w:sz w:val="21"/>
                <w:szCs w:val="21"/>
                <w:lang w:eastAsia="zh-CN"/>
              </w:rPr>
              <w:t>5、</w:t>
            </w:r>
            <w:r>
              <w:rPr>
                <w:sz w:val="21"/>
                <w:szCs w:val="21"/>
                <w:lang w:eastAsia="zh-CN"/>
              </w:rPr>
              <w:t>前处理通道顶部设置尼龙刷密封系统，隔离水雾蒸气，有效地保护悬挂链及减少对环境的污染</w:t>
            </w:r>
            <w:r>
              <w:rPr>
                <w:rFonts w:hint="eastAsia"/>
                <w:sz w:val="21"/>
                <w:szCs w:val="21"/>
                <w:lang w:eastAsia="zh-CN"/>
              </w:rPr>
              <w:t>。</w:t>
            </w:r>
          </w:p>
        </w:tc>
        <w:tc>
          <w:tcPr>
            <w:tcW w:w="2268" w:type="dxa"/>
            <w:vAlign w:val="center"/>
          </w:tcPr>
          <w:p w14:paraId="0C756A72">
            <w:pPr>
              <w:pStyle w:val="3"/>
              <w:jc w:val="center"/>
              <w:rPr>
                <w:sz w:val="24"/>
                <w:szCs w:val="24"/>
                <w:lang w:eastAsia="zh-CN"/>
              </w:rPr>
            </w:pPr>
          </w:p>
        </w:tc>
      </w:tr>
      <w:tr w14:paraId="2AF65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6EC18403">
            <w:pPr>
              <w:pStyle w:val="3"/>
              <w:jc w:val="center"/>
              <w:rPr>
                <w:rFonts w:asciiTheme="minorEastAsia" w:hAnsiTheme="minorEastAsia" w:eastAsiaTheme="minorEastAsia"/>
                <w:b/>
                <w:bCs/>
                <w:sz w:val="21"/>
                <w:szCs w:val="21"/>
                <w:lang w:eastAsia="zh-CN"/>
              </w:rPr>
            </w:pPr>
          </w:p>
        </w:tc>
        <w:tc>
          <w:tcPr>
            <w:tcW w:w="5386" w:type="dxa"/>
            <w:vAlign w:val="center"/>
          </w:tcPr>
          <w:p w14:paraId="10F24B1F">
            <w:pPr>
              <w:pStyle w:val="3"/>
              <w:spacing w:line="500" w:lineRule="exact"/>
              <w:rPr>
                <w:sz w:val="21"/>
                <w:szCs w:val="21"/>
                <w:lang w:eastAsia="zh-CN"/>
              </w:rPr>
            </w:pPr>
            <w:r>
              <w:rPr>
                <w:rFonts w:hint="eastAsia"/>
                <w:sz w:val="21"/>
                <w:szCs w:val="21"/>
                <w:lang w:eastAsia="zh-CN"/>
              </w:rPr>
              <w:t>6、棚体通道内喷淋槽上方设有更换喷嘴的不锈钢步道，骨架采用SUS304 30×30×δ2.0mm方通，踏板采用W300×H30  PP板格栅。</w:t>
            </w:r>
          </w:p>
        </w:tc>
        <w:tc>
          <w:tcPr>
            <w:tcW w:w="2268" w:type="dxa"/>
            <w:vAlign w:val="center"/>
          </w:tcPr>
          <w:p w14:paraId="3A38AA9F">
            <w:pPr>
              <w:pStyle w:val="3"/>
              <w:jc w:val="center"/>
              <w:rPr>
                <w:sz w:val="24"/>
                <w:szCs w:val="24"/>
                <w:lang w:eastAsia="zh-CN"/>
              </w:rPr>
            </w:pPr>
          </w:p>
        </w:tc>
      </w:tr>
      <w:tr w14:paraId="56E3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08E35737">
            <w:pPr>
              <w:pStyle w:val="3"/>
              <w:jc w:val="center"/>
              <w:rPr>
                <w:rFonts w:asciiTheme="minorEastAsia" w:hAnsiTheme="minorEastAsia" w:eastAsiaTheme="minorEastAsia"/>
                <w:b/>
                <w:bCs/>
                <w:sz w:val="21"/>
                <w:szCs w:val="21"/>
                <w:lang w:eastAsia="zh-CN"/>
              </w:rPr>
            </w:pPr>
          </w:p>
        </w:tc>
        <w:tc>
          <w:tcPr>
            <w:tcW w:w="5386" w:type="dxa"/>
            <w:vAlign w:val="center"/>
          </w:tcPr>
          <w:p w14:paraId="149589E9">
            <w:pPr>
              <w:spacing w:line="500" w:lineRule="exact"/>
              <w:rPr>
                <w:rFonts w:ascii="宋体" w:hAnsi="宋体" w:cs="宋体"/>
                <w:szCs w:val="21"/>
                <w:lang w:bidi="en-US"/>
              </w:rPr>
            </w:pPr>
            <w:r>
              <w:rPr>
                <w:rFonts w:hint="eastAsia" w:ascii="宋体" w:hAnsi="宋体" w:cs="宋体"/>
                <w:szCs w:val="21"/>
                <w:lang w:bidi="en-US"/>
              </w:rPr>
              <w:t>7、</w:t>
            </w:r>
            <w:r>
              <w:rPr>
                <w:rFonts w:ascii="宋体" w:hAnsi="宋体" w:cs="宋体"/>
                <w:szCs w:val="21"/>
                <w:lang w:bidi="en-US"/>
              </w:rPr>
              <w:t>热水洗槽采用双层结构，内部</w:t>
            </w:r>
            <w:r>
              <w:rPr>
                <w:rFonts w:hint="eastAsia" w:ascii="宋体" w:hAnsi="宋体" w:cs="宋体"/>
                <w:szCs w:val="21"/>
                <w:lang w:bidi="en-US"/>
              </w:rPr>
              <w:t>不锈钢</w:t>
            </w:r>
            <w:r>
              <w:rPr>
                <w:rFonts w:ascii="宋体" w:hAnsi="宋体" w:cs="宋体"/>
                <w:szCs w:val="21"/>
                <w:lang w:bidi="en-US"/>
              </w:rPr>
              <w:t>加强</w:t>
            </w:r>
            <w:r>
              <w:rPr>
                <w:rFonts w:hint="eastAsia" w:ascii="宋体" w:hAnsi="宋体" w:cs="宋体"/>
                <w:szCs w:val="21"/>
                <w:lang w:bidi="en-US"/>
              </w:rPr>
              <w:t>SUS304     δ2.0</w:t>
            </w:r>
            <w:r>
              <w:rPr>
                <w:rFonts w:ascii="宋体" w:hAnsi="宋体" w:cs="宋体"/>
                <w:szCs w:val="21"/>
                <w:lang w:bidi="en-US"/>
              </w:rPr>
              <w:t>，内板采用不锈钢板SUS304/2.</w:t>
            </w:r>
            <w:r>
              <w:rPr>
                <w:rFonts w:hint="eastAsia" w:ascii="宋体" w:hAnsi="宋体" w:cs="宋体"/>
                <w:szCs w:val="21"/>
                <w:lang w:bidi="en-US"/>
              </w:rPr>
              <w:t>0</w:t>
            </w:r>
            <w:r>
              <w:rPr>
                <w:rFonts w:ascii="宋体" w:hAnsi="宋体" w:cs="宋体"/>
                <w:szCs w:val="21"/>
                <w:lang w:bidi="en-US"/>
              </w:rPr>
              <w:t>mm焊接而成，外侧板采用不锈钢板SUS304/</w:t>
            </w:r>
            <w:r>
              <w:rPr>
                <w:rFonts w:hint="eastAsia" w:ascii="宋体" w:hAnsi="宋体" w:cs="宋体"/>
                <w:szCs w:val="21"/>
                <w:lang w:bidi="en-US"/>
              </w:rPr>
              <w:t>1.2</w:t>
            </w:r>
            <w:r>
              <w:rPr>
                <w:rFonts w:ascii="宋体" w:hAnsi="宋体" w:cs="宋体"/>
                <w:szCs w:val="21"/>
                <w:lang w:bidi="en-US"/>
              </w:rPr>
              <w:t>mm插板拼装，内外板之间填有</w:t>
            </w:r>
            <w:r>
              <w:rPr>
                <w:rFonts w:hint="eastAsia" w:ascii="宋体" w:hAnsi="宋体" w:cs="宋体"/>
                <w:szCs w:val="21"/>
                <w:lang w:bidi="en-US"/>
              </w:rPr>
              <w:t>80K δ50</w:t>
            </w:r>
            <w:r>
              <w:rPr>
                <w:rFonts w:ascii="宋体" w:hAnsi="宋体" w:cs="宋体"/>
                <w:szCs w:val="21"/>
                <w:lang w:bidi="en-US"/>
              </w:rPr>
              <w:t>mm厚的岩棉保温</w:t>
            </w:r>
            <w:r>
              <w:rPr>
                <w:rFonts w:hint="eastAsia" w:ascii="宋体" w:hAnsi="宋体" w:cs="宋体"/>
                <w:szCs w:val="21"/>
                <w:lang w:bidi="en-US"/>
              </w:rPr>
              <w:t>，水箱盖板SUS304 δ1.2</w:t>
            </w:r>
            <w:r>
              <w:rPr>
                <w:rFonts w:ascii="宋体" w:hAnsi="宋体" w:cs="宋体"/>
                <w:szCs w:val="21"/>
                <w:lang w:bidi="en-US"/>
              </w:rPr>
              <w:t>。其余</w:t>
            </w:r>
            <w:r>
              <w:rPr>
                <w:rFonts w:hint="eastAsia" w:ascii="宋体" w:hAnsi="宋体" w:cs="宋体"/>
                <w:szCs w:val="21"/>
                <w:lang w:bidi="en-US"/>
              </w:rPr>
              <w:t>各</w:t>
            </w:r>
            <w:r>
              <w:rPr>
                <w:rFonts w:ascii="宋体" w:hAnsi="宋体" w:cs="宋体"/>
                <w:szCs w:val="21"/>
                <w:lang w:bidi="en-US"/>
              </w:rPr>
              <w:t>喷淋液槽</w:t>
            </w:r>
            <w:r>
              <w:rPr>
                <w:rFonts w:hint="eastAsia" w:ascii="宋体" w:hAnsi="宋体" w:cs="宋体"/>
                <w:szCs w:val="21"/>
                <w:lang w:bidi="en-US"/>
              </w:rPr>
              <w:t>均</w:t>
            </w:r>
            <w:r>
              <w:rPr>
                <w:rFonts w:ascii="宋体" w:hAnsi="宋体" w:cs="宋体"/>
                <w:szCs w:val="21"/>
                <w:lang w:bidi="en-US"/>
              </w:rPr>
              <w:t>采用单层结构，壁板采用不锈钢板SUS304/2.</w:t>
            </w:r>
            <w:r>
              <w:rPr>
                <w:rFonts w:hint="eastAsia" w:ascii="宋体" w:hAnsi="宋体" w:cs="宋体"/>
                <w:szCs w:val="21"/>
                <w:lang w:bidi="en-US"/>
              </w:rPr>
              <w:t>0</w:t>
            </w:r>
            <w:r>
              <w:rPr>
                <w:rFonts w:ascii="宋体" w:hAnsi="宋体" w:cs="宋体"/>
                <w:szCs w:val="21"/>
                <w:lang w:bidi="en-US"/>
              </w:rPr>
              <w:t>mm焊接而成。所有液槽要严格检漏，确保无渗漏</w:t>
            </w:r>
            <w:r>
              <w:rPr>
                <w:rFonts w:hint="eastAsia" w:ascii="宋体" w:hAnsi="宋体" w:cs="宋体"/>
                <w:szCs w:val="21"/>
                <w:lang w:bidi="en-US"/>
              </w:rPr>
              <w:t>。</w:t>
            </w:r>
            <w:r>
              <w:rPr>
                <w:rFonts w:ascii="宋体" w:hAnsi="宋体" w:cs="宋体"/>
                <w:szCs w:val="21"/>
                <w:lang w:bidi="en-US"/>
              </w:rPr>
              <w:t>各液槽外观平整、美观。按各功能段的要求，液槽设有排放阀、溢流口（或逆流口）等。</w:t>
            </w:r>
          </w:p>
        </w:tc>
        <w:tc>
          <w:tcPr>
            <w:tcW w:w="2268" w:type="dxa"/>
            <w:vAlign w:val="center"/>
          </w:tcPr>
          <w:p w14:paraId="47D87A93">
            <w:pPr>
              <w:pStyle w:val="3"/>
              <w:jc w:val="center"/>
              <w:rPr>
                <w:sz w:val="24"/>
                <w:szCs w:val="24"/>
                <w:lang w:eastAsia="zh-CN"/>
              </w:rPr>
            </w:pPr>
          </w:p>
        </w:tc>
      </w:tr>
      <w:tr w14:paraId="311F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0C944A6C">
            <w:pPr>
              <w:pStyle w:val="3"/>
              <w:jc w:val="center"/>
              <w:rPr>
                <w:rFonts w:asciiTheme="minorEastAsia" w:hAnsiTheme="minorEastAsia" w:eastAsiaTheme="minorEastAsia"/>
                <w:b/>
                <w:bCs/>
                <w:sz w:val="21"/>
                <w:szCs w:val="21"/>
                <w:lang w:eastAsia="zh-CN"/>
              </w:rPr>
            </w:pPr>
          </w:p>
        </w:tc>
        <w:tc>
          <w:tcPr>
            <w:tcW w:w="5386" w:type="dxa"/>
            <w:vAlign w:val="center"/>
          </w:tcPr>
          <w:p w14:paraId="2FF7D69F">
            <w:pPr>
              <w:spacing w:line="500" w:lineRule="exact"/>
              <w:rPr>
                <w:rFonts w:ascii="微软雅黑" w:hAnsi="微软雅黑" w:eastAsia="微软雅黑" w:cs="微软雅黑"/>
                <w:sz w:val="24"/>
                <w:szCs w:val="22"/>
              </w:rPr>
            </w:pPr>
            <w:r>
              <w:rPr>
                <w:rFonts w:hint="eastAsia" w:ascii="宋体" w:hAnsi="宋体" w:cs="宋体"/>
                <w:szCs w:val="21"/>
                <w:lang w:bidi="en-US"/>
              </w:rPr>
              <w:t>8、箱体进水装置Φ40PVC球阀手动加水，配置清洗水箱专用管路及阀门。排水阀采用2.5”PVC球阀。排水管/溢流管采用Φ75×2.9  PVC管。</w:t>
            </w:r>
          </w:p>
        </w:tc>
        <w:tc>
          <w:tcPr>
            <w:tcW w:w="2268" w:type="dxa"/>
            <w:vAlign w:val="center"/>
          </w:tcPr>
          <w:p w14:paraId="51F14CE1">
            <w:pPr>
              <w:pStyle w:val="3"/>
              <w:jc w:val="center"/>
              <w:rPr>
                <w:sz w:val="24"/>
                <w:szCs w:val="24"/>
                <w:lang w:eastAsia="zh-CN"/>
              </w:rPr>
            </w:pPr>
          </w:p>
        </w:tc>
      </w:tr>
      <w:tr w14:paraId="4DC6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15F3239E">
            <w:pPr>
              <w:pStyle w:val="3"/>
              <w:jc w:val="center"/>
              <w:rPr>
                <w:rFonts w:asciiTheme="minorEastAsia" w:hAnsiTheme="minorEastAsia" w:eastAsiaTheme="minorEastAsia"/>
                <w:b/>
                <w:bCs/>
                <w:sz w:val="21"/>
                <w:szCs w:val="21"/>
                <w:lang w:eastAsia="zh-CN"/>
              </w:rPr>
            </w:pPr>
          </w:p>
        </w:tc>
        <w:tc>
          <w:tcPr>
            <w:tcW w:w="5386" w:type="dxa"/>
            <w:vAlign w:val="center"/>
          </w:tcPr>
          <w:p w14:paraId="2BAA327A">
            <w:pPr>
              <w:spacing w:line="500" w:lineRule="exact"/>
              <w:rPr>
                <w:rFonts w:ascii="微软雅黑" w:hAnsi="微软雅黑" w:eastAsia="微软雅黑" w:cs="微软雅黑"/>
                <w:sz w:val="24"/>
                <w:szCs w:val="22"/>
              </w:rPr>
            </w:pPr>
            <w:r>
              <w:rPr>
                <w:rFonts w:hint="eastAsia" w:ascii="宋体" w:hAnsi="宋体" w:cs="宋体"/>
                <w:szCs w:val="21"/>
                <w:lang w:bidi="en-US"/>
              </w:rPr>
              <w:t>9、</w:t>
            </w:r>
            <w:r>
              <w:rPr>
                <w:rFonts w:ascii="宋体" w:hAnsi="宋体" w:cs="宋体"/>
                <w:szCs w:val="21"/>
                <w:lang w:bidi="en-US"/>
              </w:rPr>
              <w:t>所有喷淋液槽均设有</w:t>
            </w:r>
            <w:r>
              <w:rPr>
                <w:rFonts w:hint="eastAsia" w:ascii="宋体" w:hAnsi="宋体" w:cs="宋体"/>
                <w:szCs w:val="21"/>
                <w:lang w:bidi="en-US"/>
              </w:rPr>
              <w:t>双层SUS304不锈钢过滤网8目、10目，以过滤浮物和沉渣，保护水泵和喷嘴不被堵塞。</w:t>
            </w:r>
          </w:p>
        </w:tc>
        <w:tc>
          <w:tcPr>
            <w:tcW w:w="2268" w:type="dxa"/>
            <w:vAlign w:val="center"/>
          </w:tcPr>
          <w:p w14:paraId="3B5F3023">
            <w:pPr>
              <w:pStyle w:val="3"/>
              <w:jc w:val="center"/>
              <w:rPr>
                <w:sz w:val="24"/>
                <w:szCs w:val="24"/>
                <w:lang w:eastAsia="zh-CN"/>
              </w:rPr>
            </w:pPr>
          </w:p>
        </w:tc>
      </w:tr>
      <w:tr w14:paraId="37FB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5399EAF5">
            <w:pPr>
              <w:pStyle w:val="3"/>
              <w:jc w:val="center"/>
              <w:rPr>
                <w:rFonts w:asciiTheme="minorEastAsia" w:hAnsiTheme="minorEastAsia" w:eastAsiaTheme="minorEastAsia"/>
                <w:b/>
                <w:bCs/>
                <w:sz w:val="21"/>
                <w:szCs w:val="21"/>
                <w:lang w:eastAsia="zh-CN"/>
              </w:rPr>
            </w:pPr>
          </w:p>
        </w:tc>
        <w:tc>
          <w:tcPr>
            <w:tcW w:w="5386" w:type="dxa"/>
            <w:vAlign w:val="center"/>
          </w:tcPr>
          <w:p w14:paraId="52D79491">
            <w:pPr>
              <w:spacing w:line="500" w:lineRule="exact"/>
              <w:rPr>
                <w:rFonts w:ascii="宋体" w:hAnsi="宋体" w:cs="宋体"/>
                <w:szCs w:val="21"/>
                <w:lang w:bidi="en-US"/>
              </w:rPr>
            </w:pPr>
            <w:r>
              <w:rPr>
                <w:rFonts w:hint="eastAsia" w:ascii="宋体" w:hAnsi="宋体" w:cs="宋体"/>
                <w:szCs w:val="21"/>
                <w:lang w:bidi="en-US"/>
              </w:rPr>
              <w:t>10、热水洗加热装置，管道采用SUS304</w:t>
            </w:r>
            <w:r>
              <w:rPr>
                <w:rFonts w:hint="eastAsia" w:ascii="宋体" w:hAnsi="宋体" w:cs="宋体"/>
                <w:szCs w:val="21"/>
                <w:lang w:eastAsia="zh-CN" w:bidi="en-US"/>
              </w:rPr>
              <w:t>，</w:t>
            </w:r>
            <w:r>
              <w:rPr>
                <w:rFonts w:hint="eastAsia" w:ascii="宋体" w:hAnsi="宋体" w:eastAsia="宋体" w:cs="宋体"/>
                <w:szCs w:val="21"/>
                <w:lang w:bidi="en-US"/>
              </w:rPr>
              <w:t>δ</w:t>
            </w:r>
            <w:r>
              <w:rPr>
                <w:rFonts w:hint="eastAsia" w:ascii="宋体" w:hAnsi="宋体" w:eastAsia="宋体" w:cs="宋体"/>
                <w:sz w:val="21"/>
                <w:szCs w:val="21"/>
                <w:lang w:eastAsia="zh-CN"/>
              </w:rPr>
              <w:t>3</w:t>
            </w:r>
            <w:r>
              <w:rPr>
                <w:rFonts w:hint="eastAsia" w:ascii="宋体" w:hAnsi="宋体" w:cs="宋体"/>
                <w:sz w:val="21"/>
                <w:szCs w:val="21"/>
                <w:lang w:eastAsia="zh-CN"/>
              </w:rPr>
              <w:t>，</w:t>
            </w:r>
            <w:r>
              <w:rPr>
                <w:rFonts w:hint="eastAsia" w:cs="宋体"/>
                <w:sz w:val="21"/>
                <w:szCs w:val="21"/>
                <w:lang w:val="en-US" w:eastAsia="zh-CN"/>
              </w:rPr>
              <w:t>直径32，</w:t>
            </w:r>
            <w:r>
              <w:rPr>
                <w:rFonts w:hint="eastAsia" w:ascii="宋体" w:hAnsi="宋体" w:eastAsia="宋体" w:cs="宋体"/>
                <w:szCs w:val="21"/>
                <w:lang w:bidi="en-US"/>
              </w:rPr>
              <w:t>不锈</w:t>
            </w:r>
            <w:r>
              <w:rPr>
                <w:rFonts w:hint="eastAsia" w:ascii="宋体" w:hAnsi="宋体" w:cs="宋体"/>
                <w:szCs w:val="21"/>
                <w:lang w:bidi="en-US"/>
              </w:rPr>
              <w:t>钢管，</w:t>
            </w:r>
            <w:r>
              <w:rPr>
                <w:rFonts w:ascii="宋体" w:hAnsi="宋体" w:cs="宋体"/>
                <w:szCs w:val="21"/>
                <w:lang w:bidi="en-US"/>
              </w:rPr>
              <w:t>EVA保温管，厚度δ20</w:t>
            </w:r>
            <w:r>
              <w:rPr>
                <w:rFonts w:hint="eastAsia" w:ascii="宋体" w:hAnsi="宋体" w:cs="宋体"/>
                <w:szCs w:val="21"/>
                <w:lang w:bidi="en-US"/>
              </w:rPr>
              <w:t>，水泵采用南方不锈钢卧式泵  功率:1.1KW/h 流量:10m³/h 扬程:18m。</w:t>
            </w:r>
          </w:p>
        </w:tc>
        <w:tc>
          <w:tcPr>
            <w:tcW w:w="2268" w:type="dxa"/>
            <w:vAlign w:val="center"/>
          </w:tcPr>
          <w:p w14:paraId="336B572B">
            <w:pPr>
              <w:pStyle w:val="3"/>
              <w:jc w:val="center"/>
              <w:rPr>
                <w:sz w:val="24"/>
                <w:szCs w:val="24"/>
                <w:lang w:eastAsia="zh-CN"/>
              </w:rPr>
            </w:pPr>
          </w:p>
        </w:tc>
      </w:tr>
      <w:tr w14:paraId="6345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52FF0E7B">
            <w:pPr>
              <w:pStyle w:val="3"/>
              <w:jc w:val="center"/>
              <w:rPr>
                <w:rFonts w:asciiTheme="minorEastAsia" w:hAnsiTheme="minorEastAsia" w:eastAsiaTheme="minorEastAsia"/>
                <w:b/>
                <w:bCs/>
                <w:sz w:val="21"/>
                <w:szCs w:val="21"/>
                <w:lang w:eastAsia="zh-CN"/>
              </w:rPr>
            </w:pPr>
          </w:p>
        </w:tc>
        <w:tc>
          <w:tcPr>
            <w:tcW w:w="5386" w:type="dxa"/>
            <w:vAlign w:val="center"/>
          </w:tcPr>
          <w:p w14:paraId="1DDB7288">
            <w:pPr>
              <w:spacing w:line="500" w:lineRule="exact"/>
              <w:rPr>
                <w:rFonts w:ascii="微软雅黑" w:hAnsi="微软雅黑" w:eastAsia="微软雅黑" w:cs="微软雅黑"/>
                <w:sz w:val="24"/>
                <w:szCs w:val="22"/>
              </w:rPr>
            </w:pPr>
            <w:r>
              <w:rPr>
                <w:rFonts w:hint="eastAsia" w:ascii="宋体" w:hAnsi="宋体" w:cs="宋体"/>
                <w:szCs w:val="21"/>
                <w:lang w:bidi="en-US"/>
              </w:rPr>
              <w:t>11、循环喷淋系统，</w:t>
            </w:r>
            <w:r>
              <w:rPr>
                <w:rFonts w:ascii="宋体" w:hAnsi="宋体" w:cs="宋体"/>
                <w:szCs w:val="21"/>
                <w:lang w:bidi="en-US"/>
              </w:rPr>
              <w:t>所有工位的喷淋主管、旁路调压管和喷淋支管材质均采用SUS304不锈钢管</w:t>
            </w:r>
            <w:r>
              <w:rPr>
                <w:rFonts w:hint="eastAsia" w:ascii="宋体" w:hAnsi="宋体" w:cs="宋体"/>
                <w:szCs w:val="21"/>
                <w:lang w:bidi="en-US"/>
              </w:rPr>
              <w:t>，主管SUS304管Φ89×1.2，支管SUS304管Φ38×1.0</w:t>
            </w:r>
            <w:r>
              <w:rPr>
                <w:rFonts w:ascii="宋体" w:hAnsi="宋体" w:cs="宋体"/>
                <w:szCs w:val="21"/>
                <w:lang w:bidi="en-US"/>
              </w:rPr>
              <w:t>。</w:t>
            </w:r>
            <w:r>
              <w:rPr>
                <w:rFonts w:hint="eastAsia" w:ascii="宋体" w:hAnsi="宋体" w:cs="宋体"/>
                <w:szCs w:val="21"/>
                <w:lang w:bidi="en-US"/>
              </w:rPr>
              <w:t>喷嘴采用昌源或同级别品牌，每套喷淋管路泵出口处均</w:t>
            </w:r>
            <w:r>
              <w:rPr>
                <w:rFonts w:ascii="宋体" w:hAnsi="宋体" w:cs="宋体"/>
                <w:szCs w:val="21"/>
                <w:lang w:bidi="en-US"/>
              </w:rPr>
              <w:t>设有旁路调压管路（蝶阀），喷淋压力可调</w:t>
            </w:r>
            <w:r>
              <w:rPr>
                <w:rFonts w:hint="eastAsia" w:ascii="宋体" w:hAnsi="宋体" w:cs="宋体"/>
                <w:szCs w:val="21"/>
                <w:lang w:bidi="en-US"/>
              </w:rPr>
              <w:t>。每个主喷淋管均</w:t>
            </w:r>
            <w:r>
              <w:rPr>
                <w:rFonts w:ascii="宋体" w:hAnsi="宋体" w:cs="宋体"/>
                <w:szCs w:val="21"/>
                <w:lang w:bidi="en-US"/>
              </w:rPr>
              <w:t>设有</w:t>
            </w:r>
            <w:r>
              <w:rPr>
                <w:rFonts w:hint="eastAsia" w:ascii="宋体" w:hAnsi="宋体" w:cs="宋体"/>
                <w:szCs w:val="21"/>
                <w:lang w:bidi="en-US"/>
              </w:rPr>
              <w:t>SUS304抗震压力表 ，1/4″-Φ60量程0-0.25MPa/cm2。</w:t>
            </w:r>
            <w:r>
              <w:rPr>
                <w:rFonts w:ascii="宋体" w:hAnsi="宋体" w:cs="宋体"/>
                <w:szCs w:val="21"/>
                <w:lang w:bidi="en-US"/>
              </w:rPr>
              <w:t>所有喷淋竖管间距</w:t>
            </w:r>
            <w:r>
              <w:rPr>
                <w:rFonts w:hint="eastAsia" w:ascii="宋体" w:hAnsi="宋体" w:cs="宋体"/>
                <w:szCs w:val="21"/>
                <w:lang w:bidi="en-US"/>
              </w:rPr>
              <w:t>4</w:t>
            </w:r>
            <w:r>
              <w:rPr>
                <w:rFonts w:ascii="宋体" w:hAnsi="宋体" w:cs="宋体"/>
                <w:szCs w:val="21"/>
                <w:lang w:bidi="en-US"/>
              </w:rPr>
              <w:t>00mm，喷嘴间距300mm，管路布局合理，各喷嘴出口压力均匀。喷嘴选用国产</w:t>
            </w:r>
            <w:r>
              <w:rPr>
                <w:rFonts w:hint="eastAsia" w:ascii="宋体" w:hAnsi="宋体" w:cs="宋体"/>
                <w:szCs w:val="21"/>
                <w:lang w:bidi="en-US"/>
              </w:rPr>
              <w:t>优质</w:t>
            </w:r>
            <w:r>
              <w:rPr>
                <w:rFonts w:ascii="宋体" w:hAnsi="宋体" w:cs="宋体"/>
                <w:szCs w:val="21"/>
                <w:lang w:bidi="en-US"/>
              </w:rPr>
              <w:t>卡箍式快拆喷嘴，</w:t>
            </w:r>
            <w:r>
              <w:rPr>
                <w:rFonts w:hint="eastAsia" w:ascii="宋体" w:hAnsi="宋体" w:cs="宋体"/>
                <w:szCs w:val="21"/>
                <w:lang w:bidi="en-US"/>
              </w:rPr>
              <w:t>型号：</w:t>
            </w:r>
            <w:r>
              <w:rPr>
                <w:rFonts w:ascii="宋体" w:hAnsi="宋体" w:cs="宋体"/>
                <w:szCs w:val="21"/>
                <w:lang w:bidi="en-US"/>
              </w:rPr>
              <w:t>CT65</w:t>
            </w:r>
            <w:r>
              <w:rPr>
                <w:rFonts w:hint="eastAsia" w:ascii="宋体" w:hAnsi="宋体" w:cs="宋体"/>
                <w:szCs w:val="21"/>
                <w:lang w:bidi="en-US"/>
              </w:rPr>
              <w:t>2</w:t>
            </w:r>
            <w:r>
              <w:rPr>
                <w:rFonts w:ascii="宋体" w:hAnsi="宋体" w:cs="宋体"/>
                <w:szCs w:val="21"/>
                <w:lang w:bidi="en-US"/>
              </w:rPr>
              <w:t>0-PP</w:t>
            </w:r>
            <w:r>
              <w:rPr>
                <w:rFonts w:hint="eastAsia" w:ascii="宋体" w:hAnsi="宋体" w:cs="宋体"/>
                <w:szCs w:val="21"/>
                <w:lang w:bidi="en-US"/>
              </w:rPr>
              <w:t>。</w:t>
            </w:r>
          </w:p>
        </w:tc>
        <w:tc>
          <w:tcPr>
            <w:tcW w:w="2268" w:type="dxa"/>
            <w:vAlign w:val="center"/>
          </w:tcPr>
          <w:p w14:paraId="06C589D3">
            <w:pPr>
              <w:pStyle w:val="3"/>
              <w:jc w:val="center"/>
              <w:rPr>
                <w:sz w:val="24"/>
                <w:szCs w:val="24"/>
                <w:lang w:eastAsia="zh-CN"/>
              </w:rPr>
            </w:pPr>
          </w:p>
        </w:tc>
      </w:tr>
      <w:tr w14:paraId="7C86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550EFC30">
            <w:pPr>
              <w:pStyle w:val="3"/>
              <w:jc w:val="center"/>
              <w:rPr>
                <w:rFonts w:asciiTheme="minorEastAsia" w:hAnsiTheme="minorEastAsia" w:eastAsiaTheme="minorEastAsia"/>
                <w:b/>
                <w:bCs/>
                <w:sz w:val="21"/>
                <w:szCs w:val="21"/>
                <w:lang w:eastAsia="zh-CN"/>
              </w:rPr>
            </w:pPr>
          </w:p>
        </w:tc>
        <w:tc>
          <w:tcPr>
            <w:tcW w:w="5386" w:type="dxa"/>
            <w:vAlign w:val="center"/>
          </w:tcPr>
          <w:p w14:paraId="3AEDAFEE">
            <w:pPr>
              <w:spacing w:line="500" w:lineRule="exact"/>
              <w:rPr>
                <w:rFonts w:ascii="宋体" w:hAnsi="宋体" w:cs="宋体"/>
                <w:szCs w:val="21"/>
                <w:lang w:bidi="en-US"/>
              </w:rPr>
            </w:pPr>
            <w:r>
              <w:rPr>
                <w:rFonts w:hint="eastAsia" w:ascii="宋体" w:hAnsi="宋体" w:cs="宋体"/>
                <w:szCs w:val="21"/>
                <w:lang w:bidi="en-US"/>
              </w:rPr>
              <w:t>12、所有</w:t>
            </w:r>
            <w:r>
              <w:rPr>
                <w:rFonts w:ascii="宋体" w:hAnsi="宋体" w:cs="宋体"/>
                <w:szCs w:val="21"/>
                <w:lang w:bidi="en-US"/>
              </w:rPr>
              <w:t>工位主循环泵采用</w:t>
            </w:r>
            <w:r>
              <w:rPr>
                <w:rFonts w:hint="eastAsia" w:ascii="宋体" w:hAnsi="宋体" w:cs="宋体"/>
                <w:szCs w:val="21"/>
                <w:lang w:bidi="en-US"/>
              </w:rPr>
              <w:t>国宝或同级别品牌泵。</w:t>
            </w:r>
          </w:p>
        </w:tc>
        <w:tc>
          <w:tcPr>
            <w:tcW w:w="2268" w:type="dxa"/>
            <w:vAlign w:val="center"/>
          </w:tcPr>
          <w:p w14:paraId="4B8305EB">
            <w:pPr>
              <w:pStyle w:val="3"/>
              <w:jc w:val="center"/>
              <w:rPr>
                <w:sz w:val="24"/>
                <w:szCs w:val="24"/>
                <w:lang w:eastAsia="zh-CN"/>
              </w:rPr>
            </w:pPr>
          </w:p>
        </w:tc>
      </w:tr>
      <w:tr w14:paraId="374F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489D75B7">
            <w:pPr>
              <w:pStyle w:val="3"/>
              <w:jc w:val="center"/>
              <w:rPr>
                <w:rFonts w:asciiTheme="minorEastAsia" w:hAnsiTheme="minorEastAsia" w:eastAsiaTheme="minorEastAsia"/>
                <w:b/>
                <w:bCs/>
                <w:sz w:val="21"/>
                <w:szCs w:val="21"/>
                <w:lang w:eastAsia="zh-CN"/>
              </w:rPr>
            </w:pPr>
          </w:p>
        </w:tc>
        <w:tc>
          <w:tcPr>
            <w:tcW w:w="5386" w:type="dxa"/>
            <w:vAlign w:val="center"/>
          </w:tcPr>
          <w:p w14:paraId="5BB9CD63">
            <w:pPr>
              <w:spacing w:line="500" w:lineRule="exact"/>
              <w:rPr>
                <w:rFonts w:ascii="宋体" w:hAnsi="宋体" w:cs="宋体"/>
                <w:szCs w:val="21"/>
                <w:lang w:bidi="en-US"/>
              </w:rPr>
            </w:pPr>
            <w:r>
              <w:rPr>
                <w:rFonts w:hint="eastAsia" w:ascii="宋体" w:hAnsi="宋体" w:cs="宋体"/>
                <w:szCs w:val="21"/>
                <w:lang w:bidi="en-US"/>
              </w:rPr>
              <w:t>13、检修平台底架采用40×40×δ2.0方通，踏板采用δ3.0铁花纹板，护栏采用40×40×δ2.0 mm  方通/20×20×δ2.0 mm方通。</w:t>
            </w:r>
          </w:p>
        </w:tc>
        <w:tc>
          <w:tcPr>
            <w:tcW w:w="2268" w:type="dxa"/>
            <w:vAlign w:val="center"/>
          </w:tcPr>
          <w:p w14:paraId="02093BFD">
            <w:pPr>
              <w:pStyle w:val="3"/>
              <w:jc w:val="center"/>
              <w:rPr>
                <w:sz w:val="24"/>
                <w:szCs w:val="24"/>
                <w:lang w:eastAsia="zh-CN"/>
              </w:rPr>
            </w:pPr>
          </w:p>
        </w:tc>
      </w:tr>
      <w:tr w14:paraId="43C8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1E28681D">
            <w:pPr>
              <w:pStyle w:val="3"/>
              <w:jc w:val="center"/>
              <w:rPr>
                <w:rFonts w:asciiTheme="minorEastAsia" w:hAnsiTheme="minorEastAsia" w:eastAsiaTheme="minorEastAsia"/>
                <w:b/>
                <w:bCs/>
                <w:sz w:val="21"/>
                <w:szCs w:val="21"/>
                <w:lang w:eastAsia="zh-CN"/>
              </w:rPr>
            </w:pPr>
          </w:p>
        </w:tc>
        <w:tc>
          <w:tcPr>
            <w:tcW w:w="5386" w:type="dxa"/>
            <w:vAlign w:val="center"/>
          </w:tcPr>
          <w:p w14:paraId="0F2EF32F">
            <w:pPr>
              <w:spacing w:line="500" w:lineRule="exact"/>
              <w:rPr>
                <w:rFonts w:ascii="微软雅黑" w:hAnsi="微软雅黑" w:eastAsia="微软雅黑" w:cs="微软雅黑"/>
                <w:sz w:val="24"/>
              </w:rPr>
            </w:pPr>
            <w:r>
              <w:rPr>
                <w:rFonts w:hint="eastAsia" w:ascii="宋体" w:hAnsi="宋体" w:cs="宋体"/>
                <w:szCs w:val="21"/>
                <w:lang w:bidi="en-US"/>
              </w:rPr>
              <w:t>14、</w:t>
            </w:r>
            <w:r>
              <w:rPr>
                <w:rFonts w:hint="eastAsia" w:ascii="宋体" w:hAnsi="宋体" w:cs="宋体"/>
                <w:szCs w:val="21"/>
              </w:rPr>
              <w:t>前处理出口到水干炉入口下方配不锈钢接水盘，材料SUS304-1.2</w:t>
            </w:r>
            <w:r>
              <w:rPr>
                <w:rFonts w:hint="eastAsia"/>
                <w:szCs w:val="21"/>
              </w:rPr>
              <w:t>。</w:t>
            </w:r>
          </w:p>
        </w:tc>
        <w:tc>
          <w:tcPr>
            <w:tcW w:w="2268" w:type="dxa"/>
            <w:vAlign w:val="center"/>
          </w:tcPr>
          <w:p w14:paraId="173412F7">
            <w:pPr>
              <w:pStyle w:val="3"/>
              <w:jc w:val="center"/>
              <w:rPr>
                <w:sz w:val="24"/>
                <w:szCs w:val="24"/>
                <w:lang w:eastAsia="zh-CN"/>
              </w:rPr>
            </w:pPr>
          </w:p>
        </w:tc>
      </w:tr>
      <w:tr w14:paraId="3EF2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76350C02">
            <w:pPr>
              <w:pStyle w:val="3"/>
              <w:jc w:val="center"/>
              <w:rPr>
                <w:rFonts w:asciiTheme="minorEastAsia" w:hAnsiTheme="minorEastAsia" w:eastAsiaTheme="minorEastAsia"/>
                <w:b/>
                <w:bCs/>
                <w:sz w:val="21"/>
                <w:szCs w:val="21"/>
                <w:lang w:eastAsia="zh-CN"/>
              </w:rPr>
            </w:pPr>
          </w:p>
        </w:tc>
        <w:tc>
          <w:tcPr>
            <w:tcW w:w="5386" w:type="dxa"/>
            <w:vAlign w:val="center"/>
          </w:tcPr>
          <w:p w14:paraId="6C1A93A6">
            <w:pPr>
              <w:spacing w:line="500" w:lineRule="exact"/>
              <w:jc w:val="left"/>
              <w:rPr>
                <w:rFonts w:ascii="微软雅黑" w:hAnsi="微软雅黑" w:eastAsia="微软雅黑" w:cs="微软雅黑"/>
                <w:sz w:val="24"/>
                <w:szCs w:val="22"/>
              </w:rPr>
            </w:pPr>
            <w:r>
              <w:rPr>
                <w:rFonts w:hint="eastAsia" w:ascii="宋体" w:hAnsi="宋体" w:cs="宋体"/>
                <w:szCs w:val="21"/>
                <w:lang w:bidi="en-US"/>
              </w:rPr>
              <w:t>9、前处理废气收集采用SUS304管收集，利用负压将前处理挥发出的有机废气收集到管道中，废气经主管道排放至废气处理。此结构既能保障车间环境，又能有效杜绝有机废气对链条的腐蚀。PP离心风机采用功率：4kw  风量约6677-13353m³/H 风压：500pa，风机采用PP材质，风机支架80×40×2.5 扁通/40×40×2.0 方通，废气管道采用SUS304 1.0mm。</w:t>
            </w:r>
          </w:p>
        </w:tc>
        <w:tc>
          <w:tcPr>
            <w:tcW w:w="2268" w:type="dxa"/>
            <w:vAlign w:val="center"/>
          </w:tcPr>
          <w:p w14:paraId="529F28EF">
            <w:pPr>
              <w:pStyle w:val="3"/>
              <w:jc w:val="center"/>
              <w:rPr>
                <w:sz w:val="24"/>
                <w:szCs w:val="24"/>
                <w:lang w:eastAsia="zh-CN"/>
              </w:rPr>
            </w:pPr>
          </w:p>
        </w:tc>
      </w:tr>
      <w:tr w14:paraId="6642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6D61519C">
            <w:pPr>
              <w:pStyle w:val="3"/>
              <w:jc w:val="center"/>
              <w:rPr>
                <w:rFonts w:asciiTheme="minorEastAsia" w:hAnsiTheme="minorEastAsia" w:eastAsiaTheme="minorEastAsia"/>
                <w:b/>
                <w:bCs/>
                <w:sz w:val="21"/>
                <w:szCs w:val="21"/>
                <w:lang w:eastAsia="zh-CN"/>
              </w:rPr>
            </w:pPr>
          </w:p>
        </w:tc>
        <w:tc>
          <w:tcPr>
            <w:tcW w:w="5386" w:type="dxa"/>
            <w:vAlign w:val="center"/>
          </w:tcPr>
          <w:p w14:paraId="4984C2B6">
            <w:pPr>
              <w:pStyle w:val="3"/>
              <w:spacing w:before="0" w:line="500" w:lineRule="exact"/>
              <w:rPr>
                <w:sz w:val="21"/>
                <w:szCs w:val="21"/>
                <w:lang w:eastAsia="zh-CN"/>
              </w:rPr>
            </w:pPr>
            <w:r>
              <w:rPr>
                <w:rFonts w:hint="eastAsia"/>
                <w:sz w:val="21"/>
                <w:szCs w:val="21"/>
                <w:lang w:eastAsia="zh-CN"/>
              </w:rPr>
              <w:t>10、2吨纯水机组</w:t>
            </w:r>
          </w:p>
        </w:tc>
        <w:tc>
          <w:tcPr>
            <w:tcW w:w="2268" w:type="dxa"/>
            <w:vAlign w:val="center"/>
          </w:tcPr>
          <w:p w14:paraId="052E8F78">
            <w:pPr>
              <w:pStyle w:val="3"/>
              <w:jc w:val="center"/>
              <w:rPr>
                <w:sz w:val="24"/>
                <w:szCs w:val="24"/>
                <w:lang w:eastAsia="zh-CN"/>
              </w:rPr>
            </w:pPr>
          </w:p>
        </w:tc>
      </w:tr>
      <w:tr w14:paraId="6DFF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restart"/>
            <w:vAlign w:val="center"/>
          </w:tcPr>
          <w:p w14:paraId="7369EB6A">
            <w:pPr>
              <w:pStyle w:val="3"/>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三、水分烘干炉</w:t>
            </w:r>
          </w:p>
        </w:tc>
        <w:tc>
          <w:tcPr>
            <w:tcW w:w="5386" w:type="dxa"/>
            <w:vAlign w:val="center"/>
          </w:tcPr>
          <w:p w14:paraId="10BA0B9D">
            <w:pPr>
              <w:keepNext w:val="0"/>
              <w:keepLines w:val="0"/>
              <w:widowControl/>
              <w:suppressLineNumbers w:val="0"/>
              <w:jc w:val="left"/>
              <w:rPr>
                <w:rFonts w:hint="eastAsia" w:ascii="宋体" w:hAnsi="宋体" w:eastAsia="宋体" w:cs="宋体"/>
                <w:kern w:val="2"/>
                <w:sz w:val="21"/>
                <w:szCs w:val="21"/>
                <w:lang w:val="en-US" w:eastAsia="zh-CN" w:bidi="en-US"/>
              </w:rPr>
            </w:pPr>
            <w:r>
              <w:rPr>
                <w:rFonts w:hint="eastAsia" w:ascii="宋体" w:hAnsi="宋体" w:eastAsia="宋体" w:cs="宋体"/>
                <w:kern w:val="2"/>
                <w:sz w:val="21"/>
                <w:szCs w:val="21"/>
                <w:lang w:val="en-US" w:eastAsia="zh-CN" w:bidi="en-US"/>
              </w:rPr>
              <w:t>1、炉体采用机制夹芯板结构，确保保温效果，减少了热量的损失。保温内侧板T0.8mm镀锌板，保温内底板</w:t>
            </w:r>
          </w:p>
          <w:p w14:paraId="41794229">
            <w:pPr>
              <w:keepNext w:val="0"/>
              <w:keepLines w:val="0"/>
              <w:widowControl/>
              <w:suppressLineNumbers w:val="0"/>
              <w:jc w:val="left"/>
              <w:rPr>
                <w:sz w:val="21"/>
                <w:szCs w:val="21"/>
                <w:lang w:eastAsia="zh-CN"/>
              </w:rPr>
            </w:pPr>
            <w:r>
              <w:rPr>
                <w:rFonts w:hint="eastAsia" w:ascii="宋体" w:hAnsi="宋体" w:eastAsia="宋体" w:cs="宋体"/>
                <w:kern w:val="2"/>
                <w:sz w:val="21"/>
                <w:szCs w:val="21"/>
                <w:lang w:val="en-US" w:eastAsia="zh-CN" w:bidi="en-US"/>
              </w:rPr>
              <w:t>T0.8mm镀锌板，保温外侧板T0.6mm彩钢板，保温层密度：120k,厚度-t150mm（顶板t250mm），外密封包槽T1.5mm热板外涂，内密封包槽T1.2mm镀锌板，安装要求炉内缝无泄露，</w:t>
            </w:r>
            <w:r>
              <w:rPr>
                <w:rFonts w:hint="eastAsia" w:ascii="宋体" w:hAnsi="宋体" w:eastAsia="宋体" w:cs="宋体"/>
                <w:b/>
                <w:bCs/>
                <w:color w:val="FF0000"/>
                <w:kern w:val="2"/>
                <w:sz w:val="21"/>
                <w:szCs w:val="21"/>
                <w:highlight w:val="yellow"/>
                <w:lang w:val="en-US" w:eastAsia="zh-CN" w:bidi="en-US"/>
              </w:rPr>
              <w:t>不允许使用无硅酸产品。炉内温差±5℃最大工件截面，炉壁平均温度与室温之差≤10℃。</w:t>
            </w:r>
          </w:p>
        </w:tc>
        <w:tc>
          <w:tcPr>
            <w:tcW w:w="2268" w:type="dxa"/>
          </w:tcPr>
          <w:p w14:paraId="63EBF416">
            <w:pPr>
              <w:pStyle w:val="3"/>
              <w:rPr>
                <w:sz w:val="24"/>
                <w:szCs w:val="24"/>
                <w:lang w:eastAsia="zh-CN"/>
              </w:rPr>
            </w:pPr>
          </w:p>
        </w:tc>
      </w:tr>
      <w:tr w14:paraId="2C9F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71AC3005">
            <w:pPr>
              <w:pStyle w:val="3"/>
              <w:jc w:val="center"/>
              <w:rPr>
                <w:rFonts w:asciiTheme="minorEastAsia" w:hAnsiTheme="minorEastAsia" w:eastAsiaTheme="minorEastAsia"/>
                <w:b/>
                <w:bCs/>
                <w:sz w:val="21"/>
                <w:szCs w:val="21"/>
                <w:lang w:eastAsia="zh-CN"/>
              </w:rPr>
            </w:pPr>
          </w:p>
        </w:tc>
        <w:tc>
          <w:tcPr>
            <w:tcW w:w="5386" w:type="dxa"/>
            <w:vAlign w:val="center"/>
          </w:tcPr>
          <w:p w14:paraId="75BB127E">
            <w:pPr>
              <w:pStyle w:val="3"/>
              <w:spacing w:before="0" w:line="500" w:lineRule="exact"/>
              <w:rPr>
                <w:sz w:val="21"/>
                <w:szCs w:val="21"/>
                <w:lang w:eastAsia="zh-CN"/>
              </w:rPr>
            </w:pPr>
            <w:r>
              <w:rPr>
                <w:rFonts w:hint="eastAsia"/>
                <w:sz w:val="21"/>
                <w:szCs w:val="21"/>
                <w:lang w:eastAsia="zh-CN"/>
              </w:rPr>
              <w:t>2、</w:t>
            </w:r>
            <w:r>
              <w:rPr>
                <w:rFonts w:hint="eastAsia"/>
                <w:sz w:val="21"/>
                <w:szCs w:val="21"/>
              </w:rPr>
              <w:t>底架采用100×100×δ2.0方通，底架立柱采用100×100×δ2.0方通</w:t>
            </w:r>
            <w:r>
              <w:rPr>
                <w:rFonts w:hint="eastAsia"/>
                <w:szCs w:val="21"/>
              </w:rPr>
              <w:t>。</w:t>
            </w:r>
          </w:p>
        </w:tc>
        <w:tc>
          <w:tcPr>
            <w:tcW w:w="2268" w:type="dxa"/>
          </w:tcPr>
          <w:p w14:paraId="24C17485">
            <w:pPr>
              <w:pStyle w:val="3"/>
              <w:rPr>
                <w:sz w:val="24"/>
                <w:szCs w:val="24"/>
              </w:rPr>
            </w:pPr>
          </w:p>
        </w:tc>
      </w:tr>
      <w:tr w14:paraId="11CF2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0B4DED93">
            <w:pPr>
              <w:pStyle w:val="3"/>
              <w:jc w:val="center"/>
              <w:rPr>
                <w:rFonts w:asciiTheme="minorEastAsia" w:hAnsiTheme="minorEastAsia" w:eastAsiaTheme="minorEastAsia"/>
                <w:b/>
                <w:bCs/>
                <w:sz w:val="21"/>
                <w:szCs w:val="21"/>
              </w:rPr>
            </w:pPr>
          </w:p>
        </w:tc>
        <w:tc>
          <w:tcPr>
            <w:tcW w:w="5386" w:type="dxa"/>
            <w:vAlign w:val="center"/>
          </w:tcPr>
          <w:p w14:paraId="479FC87D">
            <w:pPr>
              <w:pStyle w:val="3"/>
              <w:spacing w:before="0" w:line="500" w:lineRule="exact"/>
              <w:rPr>
                <w:rFonts w:hint="default" w:eastAsia="仿宋_GB2312"/>
                <w:sz w:val="21"/>
                <w:szCs w:val="21"/>
                <w:lang w:val="en-US" w:eastAsia="zh-CN"/>
              </w:rPr>
            </w:pPr>
            <w:r>
              <w:rPr>
                <w:rFonts w:hint="eastAsia"/>
                <w:sz w:val="21"/>
                <w:szCs w:val="21"/>
                <w:lang w:eastAsia="zh-CN"/>
              </w:rPr>
              <w:t>3、燃烧机设有燃气泄漏检测及过载报警，点火报警及自锁（一次点火不成功），异常报警及自锁，点火自动清理，延时启动，风机延时自动停机，风机异常报警等功能。燃烧机与风机连锁保护，风机没工作或燃烧室检修门没关燃烧机不开。</w:t>
            </w:r>
            <w:r>
              <w:rPr>
                <w:rFonts w:hint="eastAsia" w:ascii="宋体" w:hAnsi="宋体" w:eastAsia="宋体" w:cs="宋体"/>
                <w:sz w:val="21"/>
                <w:szCs w:val="21"/>
                <w:lang w:eastAsia="zh-CN"/>
              </w:rPr>
              <w:t>意大利（百得）</w:t>
            </w:r>
            <w:r>
              <w:rPr>
                <w:rFonts w:hint="eastAsia" w:ascii="宋体" w:hAnsi="宋体" w:eastAsia="宋体" w:cs="宋体"/>
                <w:sz w:val="21"/>
                <w:szCs w:val="21"/>
                <w:lang w:val="en-US" w:eastAsia="zh-CN"/>
              </w:rPr>
              <w:t>或同等品牌。</w:t>
            </w:r>
            <w:r>
              <w:rPr>
                <w:rFonts w:hint="eastAsia" w:ascii="宋体" w:hAnsi="宋体" w:eastAsia="宋体" w:cs="宋体"/>
                <w:b/>
                <w:bCs/>
                <w:color w:val="FF0000"/>
                <w:sz w:val="21"/>
                <w:szCs w:val="21"/>
                <w:highlight w:val="yellow"/>
                <w:lang w:eastAsia="zh-CN"/>
              </w:rPr>
              <w:t>升温1</w:t>
            </w:r>
            <w:r>
              <w:rPr>
                <w:rFonts w:hint="eastAsia" w:ascii="宋体" w:hAnsi="宋体" w:eastAsia="宋体" w:cs="宋体"/>
                <w:b/>
                <w:bCs/>
                <w:color w:val="FF0000"/>
                <w:sz w:val="21"/>
                <w:szCs w:val="21"/>
                <w:highlight w:val="yellow"/>
                <w:lang w:val="en-US" w:eastAsia="zh-CN"/>
              </w:rPr>
              <w:t>2</w:t>
            </w:r>
            <w:r>
              <w:rPr>
                <w:rFonts w:hint="eastAsia" w:ascii="宋体" w:hAnsi="宋体" w:eastAsia="宋体" w:cs="宋体"/>
                <w:b/>
                <w:bCs/>
                <w:color w:val="FF0000"/>
                <w:sz w:val="21"/>
                <w:szCs w:val="21"/>
                <w:highlight w:val="yellow"/>
                <w:lang w:eastAsia="zh-CN"/>
              </w:rPr>
              <w:t>0≤45分钟。</w:t>
            </w:r>
          </w:p>
        </w:tc>
        <w:tc>
          <w:tcPr>
            <w:tcW w:w="2268" w:type="dxa"/>
          </w:tcPr>
          <w:p w14:paraId="57DB4411">
            <w:pPr>
              <w:pStyle w:val="3"/>
              <w:rPr>
                <w:sz w:val="24"/>
                <w:szCs w:val="24"/>
                <w:lang w:eastAsia="zh-CN"/>
              </w:rPr>
            </w:pPr>
          </w:p>
        </w:tc>
      </w:tr>
      <w:tr w14:paraId="5228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52F7882C">
            <w:pPr>
              <w:pStyle w:val="3"/>
              <w:jc w:val="center"/>
              <w:rPr>
                <w:rFonts w:asciiTheme="minorEastAsia" w:hAnsiTheme="minorEastAsia" w:eastAsiaTheme="minorEastAsia"/>
                <w:b/>
                <w:bCs/>
                <w:sz w:val="21"/>
                <w:szCs w:val="21"/>
                <w:lang w:eastAsia="zh-CN"/>
              </w:rPr>
            </w:pPr>
          </w:p>
        </w:tc>
        <w:tc>
          <w:tcPr>
            <w:tcW w:w="5386" w:type="dxa"/>
            <w:vAlign w:val="center"/>
          </w:tcPr>
          <w:p w14:paraId="7853927C">
            <w:pPr>
              <w:pStyle w:val="2"/>
              <w:numPr>
                <w:ilvl w:val="0"/>
                <w:numId w:val="6"/>
              </w:numPr>
              <w:ind w:firstLineChars="0"/>
              <w:rPr>
                <w:rFonts w:ascii="宋体" w:hAnsi="宋体"/>
                <w:szCs w:val="21"/>
                <w:lang w:eastAsia="zh-CN"/>
              </w:rPr>
            </w:pPr>
            <w:r>
              <w:rPr>
                <w:rFonts w:hint="eastAsia" w:ascii="宋体" w:hAnsi="宋体"/>
                <w:szCs w:val="21"/>
                <w:lang w:eastAsia="zh-CN"/>
              </w:rPr>
              <w:t>燃气燃烧室装置</w:t>
            </w:r>
          </w:p>
          <w:p w14:paraId="7D2FF04C">
            <w:pPr>
              <w:pStyle w:val="3"/>
              <w:spacing w:before="0" w:line="500" w:lineRule="exact"/>
              <w:rPr>
                <w:sz w:val="21"/>
                <w:szCs w:val="21"/>
                <w:lang w:eastAsia="zh-CN"/>
              </w:rPr>
            </w:pPr>
            <w:r>
              <w:rPr>
                <w:rFonts w:hint="eastAsia"/>
                <w:sz w:val="21"/>
                <w:szCs w:val="21"/>
                <w:lang w:eastAsia="zh-CN"/>
              </w:rPr>
              <w:t>骨架采用40×40×</w:t>
            </w:r>
            <w:r>
              <w:rPr>
                <w:rFonts w:hint="eastAsia"/>
                <w:sz w:val="21"/>
                <w:szCs w:val="21"/>
              </w:rPr>
              <w:t>δ</w:t>
            </w:r>
            <w:r>
              <w:rPr>
                <w:rFonts w:hint="eastAsia"/>
                <w:sz w:val="21"/>
                <w:szCs w:val="21"/>
                <w:lang w:eastAsia="zh-CN"/>
              </w:rPr>
              <w:t>3.0 mm角铁/50×50×</w:t>
            </w:r>
            <w:r>
              <w:rPr>
                <w:rFonts w:hint="eastAsia"/>
                <w:sz w:val="21"/>
                <w:szCs w:val="21"/>
              </w:rPr>
              <w:t>δ</w:t>
            </w:r>
            <w:r>
              <w:rPr>
                <w:rFonts w:hint="eastAsia"/>
                <w:sz w:val="21"/>
                <w:szCs w:val="21"/>
                <w:lang w:eastAsia="zh-CN"/>
              </w:rPr>
              <w:t>3.0 mm方通，内壁板采用不锈钢板SUS304（</w:t>
            </w:r>
            <w:r>
              <w:rPr>
                <w:rFonts w:hint="eastAsia"/>
                <w:sz w:val="21"/>
                <w:szCs w:val="21"/>
              </w:rPr>
              <w:t>δ</w:t>
            </w:r>
            <w:r>
              <w:rPr>
                <w:rFonts w:hint="eastAsia"/>
                <w:sz w:val="21"/>
                <w:szCs w:val="21"/>
                <w:lang w:eastAsia="zh-CN"/>
              </w:rPr>
              <w:t>=2.0），外扣板采用镀锌板喷粉（</w:t>
            </w:r>
            <w:r>
              <w:rPr>
                <w:rFonts w:hint="eastAsia"/>
                <w:sz w:val="21"/>
                <w:szCs w:val="21"/>
              </w:rPr>
              <w:t>δ</w:t>
            </w:r>
            <w:r>
              <w:rPr>
                <w:rFonts w:hint="eastAsia"/>
                <w:sz w:val="21"/>
                <w:szCs w:val="21"/>
                <w:lang w:eastAsia="zh-CN"/>
              </w:rPr>
              <w:t>=0.8）颜色待定，燃烧桶采用不锈钢SUS310S（</w:t>
            </w:r>
            <w:r>
              <w:rPr>
                <w:rFonts w:hint="eastAsia"/>
                <w:sz w:val="21"/>
                <w:szCs w:val="21"/>
              </w:rPr>
              <w:t>δ</w:t>
            </w:r>
            <w:r>
              <w:rPr>
                <w:rFonts w:hint="eastAsia"/>
                <w:sz w:val="21"/>
                <w:szCs w:val="21"/>
                <w:lang w:eastAsia="zh-CN"/>
              </w:rPr>
              <w:t>=4.0），火焰挡板采用不锈钢SUS310S（</w:t>
            </w:r>
            <w:r>
              <w:rPr>
                <w:rFonts w:hint="eastAsia"/>
                <w:sz w:val="21"/>
                <w:szCs w:val="21"/>
              </w:rPr>
              <w:t>δ</w:t>
            </w:r>
            <w:r>
              <w:rPr>
                <w:rFonts w:hint="eastAsia"/>
                <w:sz w:val="21"/>
                <w:szCs w:val="21"/>
                <w:lang w:eastAsia="zh-CN"/>
              </w:rPr>
              <w:t>=5.0），保温层采用内层硅酸铝棉128K（</w:t>
            </w:r>
            <w:r>
              <w:rPr>
                <w:rFonts w:hint="eastAsia"/>
                <w:sz w:val="21"/>
                <w:szCs w:val="21"/>
              </w:rPr>
              <w:t>δ</w:t>
            </w:r>
            <w:r>
              <w:rPr>
                <w:rFonts w:hint="eastAsia"/>
                <w:sz w:val="21"/>
                <w:szCs w:val="21"/>
                <w:lang w:eastAsia="zh-CN"/>
              </w:rPr>
              <w:t>=50）外层岩棉100K（</w:t>
            </w:r>
            <w:r>
              <w:rPr>
                <w:rFonts w:hint="eastAsia"/>
                <w:sz w:val="21"/>
                <w:szCs w:val="21"/>
              </w:rPr>
              <w:t>δ</w:t>
            </w:r>
            <w:r>
              <w:rPr>
                <w:rFonts w:hint="eastAsia"/>
                <w:sz w:val="21"/>
                <w:szCs w:val="21"/>
                <w:lang w:eastAsia="zh-CN"/>
              </w:rPr>
              <w:t>=150）总厚度</w:t>
            </w:r>
            <w:r>
              <w:rPr>
                <w:rFonts w:hint="eastAsia"/>
                <w:sz w:val="21"/>
                <w:szCs w:val="21"/>
              </w:rPr>
              <w:t>δ</w:t>
            </w:r>
            <w:r>
              <w:rPr>
                <w:rFonts w:hint="eastAsia"/>
                <w:sz w:val="21"/>
                <w:szCs w:val="21"/>
                <w:lang w:eastAsia="zh-CN"/>
              </w:rPr>
              <w:t>=200mm</w:t>
            </w:r>
          </w:p>
        </w:tc>
        <w:tc>
          <w:tcPr>
            <w:tcW w:w="2268" w:type="dxa"/>
          </w:tcPr>
          <w:p w14:paraId="33229E87">
            <w:pPr>
              <w:pStyle w:val="3"/>
              <w:rPr>
                <w:sz w:val="24"/>
                <w:szCs w:val="24"/>
                <w:lang w:eastAsia="zh-CN"/>
              </w:rPr>
            </w:pPr>
          </w:p>
        </w:tc>
      </w:tr>
      <w:tr w14:paraId="6F3B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70AF0013">
            <w:pPr>
              <w:pStyle w:val="3"/>
              <w:jc w:val="center"/>
              <w:rPr>
                <w:rFonts w:asciiTheme="minorEastAsia" w:hAnsiTheme="minorEastAsia" w:eastAsiaTheme="minorEastAsia"/>
                <w:b/>
                <w:bCs/>
                <w:sz w:val="21"/>
                <w:szCs w:val="21"/>
                <w:lang w:eastAsia="zh-CN"/>
              </w:rPr>
            </w:pPr>
          </w:p>
        </w:tc>
        <w:tc>
          <w:tcPr>
            <w:tcW w:w="5386" w:type="dxa"/>
            <w:vAlign w:val="center"/>
          </w:tcPr>
          <w:p w14:paraId="7BC082E1">
            <w:pPr>
              <w:pStyle w:val="2"/>
              <w:numPr>
                <w:ilvl w:val="0"/>
                <w:numId w:val="6"/>
              </w:numPr>
              <w:ind w:firstLineChars="0"/>
              <w:rPr>
                <w:rFonts w:ascii="宋体" w:hAnsi="宋体"/>
                <w:szCs w:val="21"/>
                <w:lang w:eastAsia="zh-CN"/>
              </w:rPr>
            </w:pPr>
            <w:r>
              <w:rPr>
                <w:rFonts w:hint="eastAsia" w:ascii="宋体" w:hAnsi="宋体"/>
                <w:szCs w:val="21"/>
                <w:lang w:eastAsia="zh-CN"/>
              </w:rPr>
              <w:t>热风循环风机采用深圳鸿胜兴或洛森或同级品牌</w:t>
            </w:r>
          </w:p>
          <w:p w14:paraId="04A2D969">
            <w:pPr>
              <w:pStyle w:val="2"/>
              <w:ind w:firstLine="0" w:firstLineChars="0"/>
              <w:rPr>
                <w:rFonts w:ascii="宋体" w:hAnsi="宋体"/>
                <w:szCs w:val="21"/>
                <w:lang w:eastAsia="zh-CN"/>
              </w:rPr>
            </w:pPr>
            <w:r>
              <w:rPr>
                <w:rFonts w:hint="eastAsia" w:ascii="宋体" w:hAnsi="宋体"/>
                <w:szCs w:val="21"/>
                <w:lang w:eastAsia="zh-CN"/>
              </w:rPr>
              <w:t>燃烧机品牌采用百通或同级品牌</w:t>
            </w:r>
          </w:p>
        </w:tc>
        <w:tc>
          <w:tcPr>
            <w:tcW w:w="2268" w:type="dxa"/>
          </w:tcPr>
          <w:p w14:paraId="767B3209">
            <w:pPr>
              <w:pStyle w:val="3"/>
              <w:rPr>
                <w:sz w:val="24"/>
                <w:szCs w:val="24"/>
                <w:lang w:eastAsia="zh-CN"/>
              </w:rPr>
            </w:pPr>
          </w:p>
        </w:tc>
      </w:tr>
      <w:tr w14:paraId="6BBD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restart"/>
            <w:vAlign w:val="center"/>
          </w:tcPr>
          <w:p w14:paraId="6B9EB31C">
            <w:pPr>
              <w:pStyle w:val="3"/>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四、粉末固化炉</w:t>
            </w:r>
          </w:p>
        </w:tc>
        <w:tc>
          <w:tcPr>
            <w:tcW w:w="5386" w:type="dxa"/>
            <w:vAlign w:val="center"/>
          </w:tcPr>
          <w:p w14:paraId="1AF6C45E">
            <w:pPr>
              <w:keepNext w:val="0"/>
              <w:keepLines w:val="0"/>
              <w:widowControl/>
              <w:suppressLineNumbers w:val="0"/>
              <w:jc w:val="left"/>
              <w:rPr>
                <w:rFonts w:hint="eastAsia" w:ascii="宋体" w:hAnsi="宋体" w:eastAsia="宋体" w:cs="宋体"/>
                <w:kern w:val="2"/>
                <w:sz w:val="21"/>
                <w:szCs w:val="21"/>
                <w:lang w:val="en-US" w:eastAsia="zh-CN" w:bidi="en-US"/>
              </w:rPr>
            </w:pPr>
            <w:r>
              <w:rPr>
                <w:rFonts w:hint="eastAsia" w:ascii="宋体" w:hAnsi="宋体" w:eastAsia="宋体" w:cs="宋体"/>
                <w:kern w:val="2"/>
                <w:sz w:val="21"/>
                <w:szCs w:val="21"/>
                <w:lang w:val="en-US" w:eastAsia="zh-CN" w:bidi="en-US"/>
              </w:rPr>
              <w:t>1、炉体采用机制夹芯板结构，确保保温效果，减少了热量的损失。保温内侧板T0.8mm镀锌板，保温内底板</w:t>
            </w:r>
          </w:p>
          <w:p w14:paraId="576C1F53">
            <w:pPr>
              <w:autoSpaceDE w:val="0"/>
              <w:autoSpaceDN w:val="0"/>
              <w:spacing w:line="500" w:lineRule="exact"/>
              <w:textAlignment w:val="bottom"/>
              <w:rPr>
                <w:rFonts w:ascii="宋体" w:hAnsi="宋体" w:cs="宋体"/>
                <w:szCs w:val="21"/>
                <w:lang w:bidi="en-US"/>
              </w:rPr>
            </w:pPr>
            <w:r>
              <w:rPr>
                <w:rFonts w:hint="eastAsia" w:ascii="宋体" w:hAnsi="宋体" w:eastAsia="宋体" w:cs="宋体"/>
                <w:kern w:val="2"/>
                <w:sz w:val="21"/>
                <w:szCs w:val="21"/>
                <w:lang w:val="en-US" w:eastAsia="zh-CN" w:bidi="en-US"/>
              </w:rPr>
              <w:t>T0.8mm镀锌板，保温外侧板T0.6mm彩钢板，保温层密度：120k,厚度-t150mm（顶板t250mm），外密封包槽T1.5mm热板外涂，内密封包槽T1.2mm镀锌板，安装要求炉内缝无泄露，</w:t>
            </w:r>
            <w:r>
              <w:rPr>
                <w:rFonts w:hint="eastAsia" w:ascii="宋体" w:hAnsi="宋体" w:eastAsia="宋体" w:cs="宋体"/>
                <w:b/>
                <w:bCs/>
                <w:color w:val="FF0000"/>
                <w:kern w:val="2"/>
                <w:sz w:val="21"/>
                <w:szCs w:val="21"/>
                <w:highlight w:val="yellow"/>
                <w:lang w:val="en-US" w:eastAsia="zh-CN" w:bidi="en-US"/>
              </w:rPr>
              <w:t>不允许使用无硅酸产品。炉内温差±5℃最大工件截面，炉壁平均温度与室温之差≤10℃。</w:t>
            </w:r>
          </w:p>
        </w:tc>
        <w:tc>
          <w:tcPr>
            <w:tcW w:w="2268" w:type="dxa"/>
          </w:tcPr>
          <w:p w14:paraId="2F55056D">
            <w:pPr>
              <w:pStyle w:val="3"/>
              <w:rPr>
                <w:sz w:val="24"/>
                <w:szCs w:val="24"/>
                <w:lang w:eastAsia="zh-CN"/>
              </w:rPr>
            </w:pPr>
          </w:p>
        </w:tc>
      </w:tr>
      <w:tr w14:paraId="6E768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2DEA7CF2">
            <w:pPr>
              <w:pStyle w:val="3"/>
              <w:jc w:val="center"/>
              <w:rPr>
                <w:rFonts w:asciiTheme="minorEastAsia" w:hAnsiTheme="minorEastAsia" w:eastAsiaTheme="minorEastAsia"/>
                <w:b/>
                <w:bCs/>
                <w:sz w:val="21"/>
                <w:szCs w:val="21"/>
                <w:lang w:eastAsia="zh-CN"/>
              </w:rPr>
            </w:pPr>
          </w:p>
        </w:tc>
        <w:tc>
          <w:tcPr>
            <w:tcW w:w="5386" w:type="dxa"/>
            <w:vAlign w:val="center"/>
          </w:tcPr>
          <w:p w14:paraId="17C80A23">
            <w:pPr>
              <w:autoSpaceDE w:val="0"/>
              <w:autoSpaceDN w:val="0"/>
              <w:spacing w:line="500" w:lineRule="exact"/>
              <w:textAlignment w:val="bottom"/>
              <w:rPr>
                <w:rFonts w:ascii="微软雅黑" w:hAnsi="微软雅黑" w:eastAsia="微软雅黑"/>
                <w:bCs/>
                <w:sz w:val="24"/>
              </w:rPr>
            </w:pPr>
            <w:r>
              <w:rPr>
                <w:rFonts w:hint="eastAsia" w:ascii="宋体" w:hAnsi="宋体" w:cs="宋体"/>
                <w:szCs w:val="21"/>
                <w:lang w:bidi="en-US"/>
              </w:rPr>
              <w:t>2、</w:t>
            </w:r>
            <w:bookmarkStart w:id="10" w:name="OLE_LINK24"/>
            <w:r>
              <w:rPr>
                <w:rFonts w:hint="eastAsia" w:ascii="宋体" w:hAnsi="宋体" w:cs="宋体"/>
                <w:szCs w:val="21"/>
                <w:lang w:bidi="en-US"/>
              </w:rPr>
              <w:t>底架</w:t>
            </w:r>
            <w:bookmarkEnd w:id="10"/>
            <w:r>
              <w:rPr>
                <w:rFonts w:hint="eastAsia" w:ascii="宋体" w:hAnsi="宋体" w:cs="宋体"/>
                <w:szCs w:val="21"/>
                <w:lang w:bidi="en-US"/>
              </w:rPr>
              <w:t>采用100×100×δ2.0方通，底架立柱采用100×100×δ2.0方通。</w:t>
            </w:r>
          </w:p>
        </w:tc>
        <w:tc>
          <w:tcPr>
            <w:tcW w:w="2268" w:type="dxa"/>
          </w:tcPr>
          <w:p w14:paraId="7039A4DC">
            <w:pPr>
              <w:pStyle w:val="3"/>
              <w:rPr>
                <w:sz w:val="24"/>
                <w:szCs w:val="24"/>
                <w:lang w:eastAsia="zh-CN"/>
              </w:rPr>
            </w:pPr>
          </w:p>
        </w:tc>
      </w:tr>
      <w:tr w14:paraId="55E6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53341D21">
            <w:pPr>
              <w:pStyle w:val="3"/>
              <w:jc w:val="center"/>
              <w:rPr>
                <w:rFonts w:asciiTheme="minorEastAsia" w:hAnsiTheme="minorEastAsia" w:eastAsiaTheme="minorEastAsia"/>
                <w:b/>
                <w:bCs/>
                <w:sz w:val="21"/>
                <w:szCs w:val="21"/>
                <w:lang w:eastAsia="zh-CN"/>
              </w:rPr>
            </w:pPr>
          </w:p>
        </w:tc>
        <w:tc>
          <w:tcPr>
            <w:tcW w:w="5386" w:type="dxa"/>
            <w:vAlign w:val="center"/>
          </w:tcPr>
          <w:p w14:paraId="114E6D8F">
            <w:pPr>
              <w:pStyle w:val="3"/>
              <w:spacing w:before="0" w:line="500" w:lineRule="exact"/>
              <w:rPr>
                <w:sz w:val="21"/>
                <w:szCs w:val="21"/>
                <w:lang w:eastAsia="zh-CN"/>
              </w:rPr>
            </w:pPr>
            <w:r>
              <w:rPr>
                <w:rFonts w:hint="eastAsia"/>
                <w:sz w:val="21"/>
                <w:szCs w:val="21"/>
                <w:lang w:eastAsia="zh-CN"/>
              </w:rPr>
              <w:t>3、燃烧机设有燃气泄漏检测及过载报警，点火报警及自锁（一次点火不成功），异常报警及自锁，点火自动清理，延时启动，风机延时自动停机，风机异常报警等功能。燃烧机与风机连锁保护，风机没工作或燃烧室检修门没关燃烧机不开。</w:t>
            </w:r>
            <w:r>
              <w:rPr>
                <w:rFonts w:hint="eastAsia" w:ascii="宋体" w:hAnsi="宋体" w:eastAsia="宋体" w:cs="宋体"/>
                <w:sz w:val="21"/>
                <w:szCs w:val="21"/>
                <w:lang w:eastAsia="zh-CN"/>
              </w:rPr>
              <w:t>意大利（百得）</w:t>
            </w:r>
            <w:r>
              <w:rPr>
                <w:rFonts w:hint="eastAsia" w:ascii="宋体" w:hAnsi="宋体" w:eastAsia="宋体" w:cs="宋体"/>
                <w:sz w:val="21"/>
                <w:szCs w:val="21"/>
                <w:lang w:val="en-US" w:eastAsia="zh-CN"/>
              </w:rPr>
              <w:t>或同等品牌。</w:t>
            </w:r>
            <w:r>
              <w:rPr>
                <w:rFonts w:hint="eastAsia" w:ascii="宋体" w:hAnsi="宋体" w:eastAsia="宋体" w:cs="宋体"/>
                <w:b/>
                <w:bCs/>
                <w:color w:val="FF0000"/>
                <w:sz w:val="21"/>
                <w:szCs w:val="21"/>
                <w:highlight w:val="yellow"/>
                <w:lang w:eastAsia="zh-CN"/>
              </w:rPr>
              <w:t>升温180≤45分钟。</w:t>
            </w:r>
          </w:p>
        </w:tc>
        <w:tc>
          <w:tcPr>
            <w:tcW w:w="2268" w:type="dxa"/>
          </w:tcPr>
          <w:p w14:paraId="08CDB003">
            <w:pPr>
              <w:pStyle w:val="3"/>
              <w:rPr>
                <w:sz w:val="24"/>
                <w:szCs w:val="24"/>
                <w:lang w:eastAsia="zh-CN"/>
              </w:rPr>
            </w:pPr>
          </w:p>
        </w:tc>
      </w:tr>
      <w:tr w14:paraId="2C4C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7A15E6A7">
            <w:pPr>
              <w:pStyle w:val="3"/>
              <w:jc w:val="center"/>
              <w:rPr>
                <w:rFonts w:asciiTheme="minorEastAsia" w:hAnsiTheme="minorEastAsia" w:eastAsiaTheme="minorEastAsia"/>
                <w:b/>
                <w:bCs/>
                <w:sz w:val="21"/>
                <w:szCs w:val="21"/>
                <w:lang w:eastAsia="zh-CN"/>
              </w:rPr>
            </w:pPr>
          </w:p>
        </w:tc>
        <w:tc>
          <w:tcPr>
            <w:tcW w:w="5386" w:type="dxa"/>
            <w:vAlign w:val="center"/>
          </w:tcPr>
          <w:p w14:paraId="3DD021C6">
            <w:pPr>
              <w:pStyle w:val="2"/>
              <w:numPr>
                <w:ilvl w:val="0"/>
                <w:numId w:val="7"/>
              </w:numPr>
              <w:ind w:firstLineChars="0"/>
              <w:rPr>
                <w:rFonts w:ascii="宋体" w:hAnsi="宋体"/>
                <w:szCs w:val="21"/>
                <w:lang w:eastAsia="zh-CN"/>
              </w:rPr>
            </w:pPr>
            <w:r>
              <w:rPr>
                <w:rFonts w:hint="eastAsia" w:ascii="宋体" w:hAnsi="宋体"/>
                <w:szCs w:val="21"/>
                <w:lang w:eastAsia="zh-CN"/>
              </w:rPr>
              <w:t>燃气燃烧室装置</w:t>
            </w:r>
          </w:p>
          <w:p w14:paraId="353E7B8C">
            <w:pPr>
              <w:spacing w:line="500" w:lineRule="exact"/>
              <w:jc w:val="left"/>
              <w:rPr>
                <w:rFonts w:ascii="微软雅黑" w:hAnsi="微软雅黑" w:eastAsia="微软雅黑" w:cs="仿宋_GB2312"/>
                <w:sz w:val="24"/>
              </w:rPr>
            </w:pPr>
            <w:r>
              <w:rPr>
                <w:rFonts w:hint="eastAsia" w:ascii="宋体" w:hAnsi="宋体" w:cs="宋体"/>
                <w:szCs w:val="21"/>
                <w:lang w:bidi="en-US"/>
              </w:rPr>
              <w:t>骨架采用40×40×δ3.0 mm角铁/50×50×δ3.0 mm方通，内壁板采用不锈钢板SUS304（δ=2.0），外扣板采用镀锌板喷粉（δ=0.8）颜色待定，燃烧桶采用不锈钢SUS310S（δ=4.0），火焰挡板采用不锈钢SUS310S（δ=5.0），保温层采用内层硅酸铝棉128K（δ=50）外层岩棉100K（δ=150）总厚度δ=200mm</w:t>
            </w:r>
          </w:p>
        </w:tc>
        <w:tc>
          <w:tcPr>
            <w:tcW w:w="2268" w:type="dxa"/>
          </w:tcPr>
          <w:p w14:paraId="39166C79">
            <w:pPr>
              <w:pStyle w:val="3"/>
              <w:rPr>
                <w:sz w:val="24"/>
                <w:szCs w:val="24"/>
                <w:lang w:eastAsia="zh-CN"/>
              </w:rPr>
            </w:pPr>
          </w:p>
        </w:tc>
      </w:tr>
      <w:tr w14:paraId="5698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2064A429">
            <w:pPr>
              <w:pStyle w:val="3"/>
              <w:jc w:val="center"/>
              <w:rPr>
                <w:rFonts w:asciiTheme="minorEastAsia" w:hAnsiTheme="minorEastAsia" w:eastAsiaTheme="minorEastAsia"/>
                <w:b/>
                <w:bCs/>
                <w:sz w:val="21"/>
                <w:szCs w:val="21"/>
                <w:lang w:eastAsia="zh-CN"/>
              </w:rPr>
            </w:pPr>
          </w:p>
        </w:tc>
        <w:tc>
          <w:tcPr>
            <w:tcW w:w="5386" w:type="dxa"/>
            <w:vAlign w:val="center"/>
          </w:tcPr>
          <w:p w14:paraId="3FBF8FDF">
            <w:pPr>
              <w:pStyle w:val="2"/>
              <w:ind w:firstLine="0" w:firstLineChars="0"/>
              <w:rPr>
                <w:rFonts w:ascii="宋体" w:hAnsi="宋体"/>
                <w:szCs w:val="21"/>
                <w:lang w:eastAsia="zh-CN"/>
              </w:rPr>
            </w:pPr>
            <w:r>
              <w:rPr>
                <w:rFonts w:hint="eastAsia" w:ascii="宋体" w:hAnsi="宋体"/>
                <w:szCs w:val="21"/>
                <w:lang w:eastAsia="zh-CN"/>
              </w:rPr>
              <w:t>5、热风循环风机采用深圳鸿胜兴或洛森或同级品牌</w:t>
            </w:r>
          </w:p>
          <w:p w14:paraId="4FFA779C">
            <w:pPr>
              <w:pStyle w:val="2"/>
              <w:ind w:firstLine="0" w:firstLineChars="0"/>
              <w:rPr>
                <w:rFonts w:ascii="宋体" w:hAnsi="宋体"/>
                <w:szCs w:val="21"/>
                <w:lang w:eastAsia="zh-CN"/>
              </w:rPr>
            </w:pPr>
            <w:r>
              <w:rPr>
                <w:rFonts w:hint="eastAsia" w:ascii="宋体" w:hAnsi="宋体"/>
                <w:szCs w:val="21"/>
                <w:lang w:eastAsia="zh-CN"/>
              </w:rPr>
              <w:t>燃烧机品牌采用百通或同级品牌</w:t>
            </w:r>
          </w:p>
        </w:tc>
        <w:tc>
          <w:tcPr>
            <w:tcW w:w="2268" w:type="dxa"/>
          </w:tcPr>
          <w:p w14:paraId="56CB76C9">
            <w:pPr>
              <w:pStyle w:val="3"/>
              <w:rPr>
                <w:sz w:val="24"/>
                <w:szCs w:val="24"/>
                <w:lang w:eastAsia="zh-CN"/>
              </w:rPr>
            </w:pPr>
          </w:p>
        </w:tc>
      </w:tr>
      <w:tr w14:paraId="0AC0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0005E151">
            <w:pPr>
              <w:pStyle w:val="3"/>
              <w:jc w:val="center"/>
              <w:rPr>
                <w:rFonts w:asciiTheme="minorEastAsia" w:hAnsiTheme="minorEastAsia" w:eastAsiaTheme="minorEastAsia"/>
                <w:b/>
                <w:bCs/>
                <w:sz w:val="21"/>
                <w:szCs w:val="21"/>
                <w:lang w:eastAsia="zh-CN"/>
              </w:rPr>
            </w:pPr>
          </w:p>
        </w:tc>
        <w:tc>
          <w:tcPr>
            <w:tcW w:w="5386" w:type="dxa"/>
            <w:vAlign w:val="center"/>
          </w:tcPr>
          <w:p w14:paraId="72D047B8">
            <w:pPr>
              <w:spacing w:line="500" w:lineRule="exact"/>
              <w:jc w:val="left"/>
              <w:rPr>
                <w:rFonts w:ascii="宋体" w:hAnsi="宋体" w:cs="宋体"/>
                <w:szCs w:val="21"/>
                <w:lang w:bidi="en-US"/>
              </w:rPr>
            </w:pPr>
            <w:r>
              <w:rPr>
                <w:rFonts w:hint="eastAsia" w:ascii="宋体" w:hAnsi="宋体" w:cs="宋体"/>
                <w:szCs w:val="21"/>
                <w:lang w:bidi="en-US"/>
              </w:rPr>
              <w:t>6、烤炉废气</w:t>
            </w:r>
          </w:p>
          <w:p w14:paraId="7CA1873C">
            <w:pPr>
              <w:pStyle w:val="2"/>
              <w:ind w:firstLine="0" w:firstLineChars="0"/>
              <w:rPr>
                <w:sz w:val="21"/>
                <w:szCs w:val="21"/>
                <w:lang w:eastAsia="zh-CN"/>
              </w:rPr>
            </w:pPr>
            <w:r>
              <w:rPr>
                <w:rFonts w:hint="eastAsia" w:ascii="宋体" w:hAnsi="宋体"/>
                <w:szCs w:val="21"/>
                <w:lang w:eastAsia="zh-CN"/>
              </w:rPr>
              <w:t>废气罩采用镀锌板δ=1.2</w:t>
            </w:r>
          </w:p>
        </w:tc>
        <w:tc>
          <w:tcPr>
            <w:tcW w:w="2268" w:type="dxa"/>
          </w:tcPr>
          <w:p w14:paraId="5BCE0C72">
            <w:pPr>
              <w:pStyle w:val="3"/>
              <w:rPr>
                <w:sz w:val="24"/>
                <w:szCs w:val="24"/>
                <w:lang w:eastAsia="zh-CN"/>
              </w:rPr>
            </w:pPr>
          </w:p>
        </w:tc>
      </w:tr>
      <w:tr w14:paraId="6938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restart"/>
            <w:vAlign w:val="center"/>
          </w:tcPr>
          <w:p w14:paraId="060A28C0">
            <w:pPr>
              <w:pStyle w:val="3"/>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五、悬挂输送装置</w:t>
            </w:r>
          </w:p>
        </w:tc>
        <w:tc>
          <w:tcPr>
            <w:tcW w:w="5386" w:type="dxa"/>
            <w:vAlign w:val="center"/>
          </w:tcPr>
          <w:p w14:paraId="4ECA0C04">
            <w:pPr>
              <w:pStyle w:val="3"/>
              <w:spacing w:before="0" w:line="500" w:lineRule="exact"/>
              <w:rPr>
                <w:sz w:val="21"/>
                <w:szCs w:val="21"/>
                <w:lang w:eastAsia="zh-CN"/>
              </w:rPr>
            </w:pPr>
            <w:r>
              <w:rPr>
                <w:rFonts w:hint="eastAsia"/>
                <w:sz w:val="21"/>
                <w:szCs w:val="21"/>
                <w:lang w:eastAsia="zh-CN"/>
              </w:rPr>
              <w:t>1、采用250-50悬挂输送机，节距250mm，单点吊重50Kg，约</w:t>
            </w:r>
            <w:r>
              <w:rPr>
                <w:rFonts w:hint="eastAsia"/>
                <w:sz w:val="21"/>
                <w:szCs w:val="21"/>
                <w:lang w:val="en-US" w:eastAsia="zh-CN"/>
              </w:rPr>
              <w:t>500</w:t>
            </w:r>
            <w:r>
              <w:rPr>
                <w:rFonts w:hint="eastAsia"/>
                <w:sz w:val="21"/>
                <w:szCs w:val="21"/>
                <w:lang w:eastAsia="zh-CN"/>
              </w:rPr>
              <w:t>米，驱动装置无级调速范围： V=</w:t>
            </w:r>
            <w:r>
              <w:rPr>
                <w:rFonts w:hint="eastAsia"/>
                <w:sz w:val="21"/>
                <w:szCs w:val="21"/>
                <w:lang w:val="en-US" w:eastAsia="zh-CN"/>
              </w:rPr>
              <w:t>6</w:t>
            </w:r>
            <w:r>
              <w:rPr>
                <w:rFonts w:hint="eastAsia"/>
                <w:sz w:val="21"/>
                <w:szCs w:val="21"/>
                <w:lang w:eastAsia="zh-CN"/>
              </w:rPr>
              <w:t xml:space="preserve">m/min  </w:t>
            </w:r>
            <w:r>
              <w:rPr>
                <w:sz w:val="21"/>
                <w:szCs w:val="21"/>
                <w:lang w:eastAsia="zh-CN"/>
              </w:rPr>
              <w:t>(</w:t>
            </w:r>
            <w:r>
              <w:rPr>
                <w:rFonts w:hint="eastAsia"/>
                <w:sz w:val="21"/>
                <w:szCs w:val="21"/>
                <w:lang w:val="en-US" w:eastAsia="zh-CN"/>
              </w:rPr>
              <w:t>2</w:t>
            </w:r>
            <w:r>
              <w:rPr>
                <w:sz w:val="21"/>
                <w:szCs w:val="21"/>
                <w:lang w:eastAsia="zh-CN"/>
              </w:rPr>
              <w:t>-</w:t>
            </w:r>
            <w:r>
              <w:rPr>
                <w:rFonts w:hint="eastAsia"/>
                <w:sz w:val="21"/>
                <w:szCs w:val="21"/>
                <w:lang w:val="en-US" w:eastAsia="zh-CN"/>
              </w:rPr>
              <w:t>8</w:t>
            </w:r>
            <w:r>
              <w:rPr>
                <w:sz w:val="21"/>
                <w:szCs w:val="21"/>
                <w:lang w:eastAsia="zh-CN"/>
              </w:rPr>
              <w:t>)/min</w:t>
            </w:r>
            <w:r>
              <w:rPr>
                <w:rFonts w:hint="eastAsia"/>
                <w:sz w:val="21"/>
                <w:szCs w:val="21"/>
                <w:lang w:eastAsia="zh-CN"/>
              </w:rPr>
              <w:t>连续可调，张紧装置重锤式张紧。</w:t>
            </w:r>
            <w:r>
              <w:rPr>
                <w:sz w:val="21"/>
                <w:szCs w:val="21"/>
                <w:lang w:eastAsia="zh-CN"/>
              </w:rPr>
              <w:t>承德光大</w:t>
            </w:r>
            <w:r>
              <w:rPr>
                <w:rFonts w:hint="eastAsia"/>
                <w:sz w:val="21"/>
                <w:szCs w:val="21"/>
                <w:lang w:eastAsia="zh-CN"/>
              </w:rPr>
              <w:t>XT250-50型输送悬挂链，挂具采用C型挂具，接油盘方式固定式，镀锌板δ1.2。</w:t>
            </w:r>
          </w:p>
        </w:tc>
        <w:tc>
          <w:tcPr>
            <w:tcW w:w="2268" w:type="dxa"/>
          </w:tcPr>
          <w:p w14:paraId="383BCD1F">
            <w:pPr>
              <w:pStyle w:val="3"/>
              <w:rPr>
                <w:sz w:val="24"/>
                <w:szCs w:val="24"/>
                <w:lang w:eastAsia="zh-CN"/>
              </w:rPr>
            </w:pPr>
          </w:p>
        </w:tc>
      </w:tr>
      <w:tr w14:paraId="778F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6C67B28A">
            <w:pPr>
              <w:pStyle w:val="3"/>
              <w:jc w:val="center"/>
              <w:rPr>
                <w:rFonts w:asciiTheme="minorEastAsia" w:hAnsiTheme="minorEastAsia" w:eastAsiaTheme="minorEastAsia"/>
                <w:b/>
                <w:bCs/>
                <w:sz w:val="21"/>
                <w:szCs w:val="21"/>
                <w:lang w:eastAsia="zh-CN"/>
              </w:rPr>
            </w:pPr>
          </w:p>
        </w:tc>
        <w:tc>
          <w:tcPr>
            <w:tcW w:w="5386" w:type="dxa"/>
            <w:vAlign w:val="center"/>
          </w:tcPr>
          <w:p w14:paraId="61393917">
            <w:pPr>
              <w:pStyle w:val="3"/>
              <w:spacing w:line="500" w:lineRule="exact"/>
              <w:rPr>
                <w:szCs w:val="21"/>
                <w:lang w:eastAsia="zh-CN"/>
              </w:rPr>
            </w:pPr>
            <w:r>
              <w:rPr>
                <w:rFonts w:hint="eastAsia"/>
                <w:sz w:val="21"/>
                <w:szCs w:val="21"/>
                <w:lang w:eastAsia="zh-CN"/>
              </w:rPr>
              <w:t>2、</w:t>
            </w:r>
            <w:r>
              <w:rPr>
                <w:sz w:val="21"/>
                <w:szCs w:val="21"/>
                <w:lang w:eastAsia="zh-CN"/>
              </w:rPr>
              <w:t>吊装方式前处理设备上方的悬链轨道采用龙门型钢吊装结构</w:t>
            </w:r>
            <w:r>
              <w:rPr>
                <w:rFonts w:hint="eastAsia"/>
                <w:sz w:val="21"/>
                <w:szCs w:val="21"/>
                <w:lang w:eastAsia="zh-CN"/>
              </w:rPr>
              <w:t>,</w:t>
            </w:r>
            <w:r>
              <w:rPr>
                <w:sz w:val="21"/>
                <w:szCs w:val="21"/>
                <w:lang w:eastAsia="zh-CN"/>
              </w:rPr>
              <w:t>烘干和固化通道内的悬链轨道直接吊装在通道的型钢框架上</w:t>
            </w:r>
            <w:r>
              <w:rPr>
                <w:rFonts w:hint="eastAsia"/>
                <w:sz w:val="21"/>
                <w:szCs w:val="21"/>
                <w:lang w:eastAsia="zh-CN"/>
              </w:rPr>
              <w:t>,</w:t>
            </w:r>
            <w:r>
              <w:rPr>
                <w:sz w:val="21"/>
                <w:szCs w:val="21"/>
                <w:lang w:eastAsia="zh-CN"/>
              </w:rPr>
              <w:t>设备外的悬链轨道采用地面支撑和空中吊装相结合的吊装方式</w:t>
            </w:r>
            <w:r>
              <w:rPr>
                <w:rFonts w:hint="eastAsia"/>
                <w:sz w:val="21"/>
                <w:szCs w:val="21"/>
                <w:lang w:eastAsia="zh-CN"/>
              </w:rPr>
              <w:t>。骨架40×40×δ2.0方通，防护网20×20×4.0镀锌方格网。</w:t>
            </w:r>
          </w:p>
        </w:tc>
        <w:tc>
          <w:tcPr>
            <w:tcW w:w="2268" w:type="dxa"/>
          </w:tcPr>
          <w:p w14:paraId="6B5002FE">
            <w:pPr>
              <w:pStyle w:val="3"/>
              <w:rPr>
                <w:sz w:val="24"/>
                <w:szCs w:val="24"/>
                <w:lang w:eastAsia="zh-CN"/>
              </w:rPr>
            </w:pPr>
          </w:p>
        </w:tc>
      </w:tr>
      <w:tr w14:paraId="37BF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5D6F54A8">
            <w:pPr>
              <w:pStyle w:val="3"/>
              <w:jc w:val="center"/>
              <w:rPr>
                <w:rFonts w:asciiTheme="minorEastAsia" w:hAnsiTheme="minorEastAsia" w:eastAsiaTheme="minorEastAsia"/>
                <w:b/>
                <w:bCs/>
                <w:sz w:val="21"/>
                <w:szCs w:val="21"/>
                <w:lang w:eastAsia="zh-CN"/>
              </w:rPr>
            </w:pPr>
          </w:p>
        </w:tc>
        <w:tc>
          <w:tcPr>
            <w:tcW w:w="5386" w:type="dxa"/>
            <w:vAlign w:val="center"/>
          </w:tcPr>
          <w:p w14:paraId="3DA8AC5C">
            <w:pPr>
              <w:pStyle w:val="3"/>
              <w:spacing w:line="500" w:lineRule="exact"/>
              <w:rPr>
                <w:sz w:val="21"/>
                <w:szCs w:val="21"/>
                <w:lang w:eastAsia="zh-CN"/>
              </w:rPr>
            </w:pPr>
            <w:r>
              <w:rPr>
                <w:rFonts w:hint="eastAsia"/>
                <w:sz w:val="21"/>
                <w:szCs w:val="21"/>
                <w:lang w:eastAsia="zh-CN"/>
              </w:rPr>
              <w:t>3、</w:t>
            </w:r>
            <w:r>
              <w:rPr>
                <w:sz w:val="21"/>
                <w:szCs w:val="21"/>
                <w:lang w:eastAsia="zh-CN"/>
              </w:rPr>
              <w:t>防护方式</w:t>
            </w:r>
            <w:r>
              <w:rPr>
                <w:rFonts w:hint="eastAsia"/>
                <w:sz w:val="21"/>
                <w:szCs w:val="21"/>
                <w:lang w:eastAsia="zh-CN"/>
              </w:rPr>
              <w:t>：</w:t>
            </w:r>
          </w:p>
          <w:p w14:paraId="661AFAF0">
            <w:pPr>
              <w:pStyle w:val="3"/>
              <w:spacing w:line="500" w:lineRule="exact"/>
              <w:rPr>
                <w:sz w:val="21"/>
                <w:szCs w:val="21"/>
                <w:lang w:eastAsia="zh-CN"/>
              </w:rPr>
            </w:pPr>
            <w:r>
              <w:rPr>
                <w:rFonts w:hint="eastAsia"/>
                <w:sz w:val="21"/>
                <w:szCs w:val="21"/>
                <w:lang w:eastAsia="zh-CN"/>
              </w:rPr>
              <w:t>a、</w:t>
            </w:r>
            <w:r>
              <w:rPr>
                <w:sz w:val="21"/>
                <w:szCs w:val="21"/>
                <w:lang w:eastAsia="zh-CN"/>
              </w:rPr>
              <w:t>在工件下沿高出地面2.0m的输送链下面装有防护网；</w:t>
            </w:r>
          </w:p>
          <w:p w14:paraId="3419B469">
            <w:pPr>
              <w:pStyle w:val="3"/>
              <w:spacing w:line="500" w:lineRule="exact"/>
              <w:rPr>
                <w:sz w:val="21"/>
                <w:szCs w:val="21"/>
                <w:lang w:eastAsia="zh-CN"/>
              </w:rPr>
            </w:pPr>
            <w:r>
              <w:rPr>
                <w:rFonts w:hint="eastAsia"/>
                <w:sz w:val="21"/>
                <w:szCs w:val="21"/>
                <w:lang w:eastAsia="zh-CN"/>
              </w:rPr>
              <w:t>b、</w:t>
            </w:r>
            <w:r>
              <w:rPr>
                <w:sz w:val="21"/>
                <w:szCs w:val="21"/>
                <w:lang w:eastAsia="zh-CN"/>
              </w:rPr>
              <w:t>在高度差大于3m的上下坡段设有</w:t>
            </w:r>
            <w:r>
              <w:rPr>
                <w:rFonts w:hint="eastAsia"/>
                <w:sz w:val="21"/>
                <w:szCs w:val="21"/>
                <w:lang w:eastAsia="zh-CN"/>
              </w:rPr>
              <w:t>栏杆</w:t>
            </w:r>
            <w:r>
              <w:rPr>
                <w:sz w:val="21"/>
                <w:szCs w:val="21"/>
                <w:lang w:eastAsia="zh-CN"/>
              </w:rPr>
              <w:t>；</w:t>
            </w:r>
          </w:p>
          <w:p w14:paraId="130F9643">
            <w:pPr>
              <w:pStyle w:val="3"/>
              <w:spacing w:line="500" w:lineRule="exact"/>
              <w:rPr>
                <w:szCs w:val="21"/>
                <w:lang w:eastAsia="zh-CN"/>
              </w:rPr>
            </w:pPr>
            <w:r>
              <w:rPr>
                <w:rFonts w:hint="eastAsia"/>
                <w:sz w:val="21"/>
                <w:szCs w:val="21"/>
                <w:lang w:eastAsia="zh-CN"/>
              </w:rPr>
              <w:t>c、</w:t>
            </w:r>
            <w:r>
              <w:rPr>
                <w:sz w:val="21"/>
                <w:szCs w:val="21"/>
                <w:lang w:eastAsia="zh-CN"/>
              </w:rPr>
              <w:t>在前处理入口段附近、喷涂室区和上下工件段附近设有急停开关，并设有开线、停线警报装置</w:t>
            </w:r>
          </w:p>
        </w:tc>
        <w:tc>
          <w:tcPr>
            <w:tcW w:w="2268" w:type="dxa"/>
          </w:tcPr>
          <w:p w14:paraId="58044B06">
            <w:pPr>
              <w:pStyle w:val="3"/>
              <w:rPr>
                <w:sz w:val="24"/>
                <w:szCs w:val="24"/>
                <w:lang w:eastAsia="zh-CN"/>
              </w:rPr>
            </w:pPr>
          </w:p>
        </w:tc>
      </w:tr>
      <w:tr w14:paraId="1759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3915C8C7">
            <w:pPr>
              <w:pStyle w:val="3"/>
              <w:jc w:val="center"/>
              <w:rPr>
                <w:rFonts w:asciiTheme="minorEastAsia" w:hAnsiTheme="minorEastAsia" w:eastAsiaTheme="minorEastAsia"/>
                <w:b/>
                <w:bCs/>
                <w:sz w:val="21"/>
                <w:szCs w:val="21"/>
                <w:lang w:eastAsia="zh-CN"/>
              </w:rPr>
            </w:pPr>
          </w:p>
        </w:tc>
        <w:tc>
          <w:tcPr>
            <w:tcW w:w="5386" w:type="dxa"/>
            <w:vAlign w:val="center"/>
          </w:tcPr>
          <w:p w14:paraId="13C447D9">
            <w:pPr>
              <w:spacing w:line="500" w:lineRule="exact"/>
              <w:rPr>
                <w:rFonts w:ascii="微软雅黑" w:hAnsi="微软雅黑" w:eastAsia="微软雅黑"/>
                <w:sz w:val="24"/>
              </w:rPr>
            </w:pPr>
            <w:r>
              <w:rPr>
                <w:rFonts w:hint="eastAsia" w:ascii="宋体" w:hAnsi="宋体" w:cs="宋体"/>
                <w:szCs w:val="21"/>
                <w:lang w:bidi="en-US"/>
              </w:rPr>
              <w:t>4、驱动维修平台及护栏，主骨架50×50×δ1.5方通，踏板δ3.0铁花纹板，护栏30×30×δ1.5方通。</w:t>
            </w:r>
          </w:p>
        </w:tc>
        <w:tc>
          <w:tcPr>
            <w:tcW w:w="2268" w:type="dxa"/>
          </w:tcPr>
          <w:p w14:paraId="6C05033B">
            <w:pPr>
              <w:pStyle w:val="3"/>
              <w:rPr>
                <w:sz w:val="24"/>
                <w:szCs w:val="24"/>
                <w:lang w:eastAsia="zh-CN"/>
              </w:rPr>
            </w:pPr>
          </w:p>
        </w:tc>
      </w:tr>
      <w:tr w14:paraId="6637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2C408BB5">
            <w:pPr>
              <w:pStyle w:val="3"/>
              <w:jc w:val="center"/>
              <w:rPr>
                <w:rFonts w:asciiTheme="minorEastAsia" w:hAnsiTheme="minorEastAsia" w:eastAsiaTheme="minorEastAsia"/>
                <w:b/>
                <w:bCs/>
                <w:sz w:val="21"/>
                <w:szCs w:val="21"/>
                <w:lang w:eastAsia="zh-CN"/>
              </w:rPr>
            </w:pPr>
          </w:p>
        </w:tc>
        <w:tc>
          <w:tcPr>
            <w:tcW w:w="5386" w:type="dxa"/>
            <w:vAlign w:val="center"/>
          </w:tcPr>
          <w:p w14:paraId="06335854">
            <w:pPr>
              <w:pStyle w:val="3"/>
              <w:spacing w:before="0" w:line="500" w:lineRule="exact"/>
              <w:rPr>
                <w:sz w:val="21"/>
                <w:szCs w:val="21"/>
                <w:lang w:eastAsia="zh-CN"/>
              </w:rPr>
            </w:pPr>
            <w:r>
              <w:rPr>
                <w:rFonts w:hint="eastAsia"/>
                <w:sz w:val="21"/>
                <w:szCs w:val="21"/>
                <w:lang w:eastAsia="zh-CN"/>
              </w:rPr>
              <w:t>5、输送线立柱采用100×100×δ2.0  方通</w:t>
            </w:r>
          </w:p>
          <w:p w14:paraId="433C7047">
            <w:pPr>
              <w:spacing w:line="500" w:lineRule="exact"/>
              <w:rPr>
                <w:rFonts w:ascii="宋体" w:hAnsi="宋体" w:cs="宋体"/>
                <w:szCs w:val="21"/>
                <w:lang w:bidi="en-US"/>
              </w:rPr>
            </w:pPr>
            <w:r>
              <w:rPr>
                <w:rFonts w:hint="eastAsia" w:ascii="宋体" w:hAnsi="宋体" w:cs="宋体"/>
                <w:szCs w:val="21"/>
                <w:lang w:bidi="en-US"/>
              </w:rPr>
              <w:t>立柱横梁采用100×50×δ2.0   扁通</w:t>
            </w:r>
          </w:p>
        </w:tc>
        <w:tc>
          <w:tcPr>
            <w:tcW w:w="2268" w:type="dxa"/>
          </w:tcPr>
          <w:p w14:paraId="00AC1F40">
            <w:pPr>
              <w:pStyle w:val="3"/>
              <w:rPr>
                <w:sz w:val="24"/>
                <w:szCs w:val="24"/>
                <w:lang w:eastAsia="zh-CN"/>
              </w:rPr>
            </w:pPr>
          </w:p>
        </w:tc>
      </w:tr>
      <w:tr w14:paraId="16E1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451CDCD2">
            <w:pPr>
              <w:pStyle w:val="3"/>
              <w:jc w:val="center"/>
              <w:rPr>
                <w:rFonts w:asciiTheme="minorEastAsia" w:hAnsiTheme="minorEastAsia" w:eastAsiaTheme="minorEastAsia"/>
                <w:b/>
                <w:bCs/>
                <w:sz w:val="21"/>
                <w:szCs w:val="21"/>
                <w:lang w:eastAsia="zh-CN"/>
              </w:rPr>
            </w:pPr>
          </w:p>
        </w:tc>
        <w:tc>
          <w:tcPr>
            <w:tcW w:w="5386" w:type="dxa"/>
            <w:vAlign w:val="center"/>
          </w:tcPr>
          <w:p w14:paraId="7F504744">
            <w:pPr>
              <w:pStyle w:val="3"/>
              <w:spacing w:before="0" w:line="500" w:lineRule="exact"/>
              <w:rPr>
                <w:sz w:val="21"/>
                <w:szCs w:val="21"/>
                <w:lang w:eastAsia="zh-CN"/>
              </w:rPr>
            </w:pPr>
            <w:r>
              <w:rPr>
                <w:rFonts w:hint="eastAsia"/>
                <w:sz w:val="21"/>
                <w:szCs w:val="21"/>
                <w:lang w:eastAsia="zh-CN"/>
              </w:rPr>
              <w:t>6、各控制系统必须为自动与手动模式相结合，自动加油机。</w:t>
            </w:r>
          </w:p>
        </w:tc>
        <w:tc>
          <w:tcPr>
            <w:tcW w:w="2268" w:type="dxa"/>
          </w:tcPr>
          <w:p w14:paraId="45CAF9E2">
            <w:pPr>
              <w:pStyle w:val="3"/>
              <w:rPr>
                <w:sz w:val="24"/>
                <w:szCs w:val="24"/>
                <w:lang w:eastAsia="zh-CN"/>
              </w:rPr>
            </w:pPr>
          </w:p>
        </w:tc>
      </w:tr>
      <w:tr w14:paraId="1606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6DE00F15">
            <w:pPr>
              <w:pStyle w:val="3"/>
              <w:jc w:val="center"/>
              <w:rPr>
                <w:rFonts w:asciiTheme="minorEastAsia" w:hAnsiTheme="minorEastAsia" w:eastAsiaTheme="minorEastAsia"/>
                <w:b/>
                <w:bCs/>
                <w:sz w:val="21"/>
                <w:szCs w:val="21"/>
                <w:lang w:eastAsia="zh-CN"/>
              </w:rPr>
            </w:pPr>
          </w:p>
        </w:tc>
        <w:tc>
          <w:tcPr>
            <w:tcW w:w="5386" w:type="dxa"/>
            <w:vAlign w:val="center"/>
          </w:tcPr>
          <w:p w14:paraId="47AF93D0">
            <w:pPr>
              <w:pStyle w:val="4"/>
              <w:rPr>
                <w:rFonts w:cs="宋体"/>
                <w:color w:val="auto"/>
                <w:kern w:val="2"/>
                <w:sz w:val="21"/>
                <w:szCs w:val="21"/>
                <w:lang w:bidi="en-US"/>
              </w:rPr>
            </w:pPr>
            <w:r>
              <w:rPr>
                <w:rFonts w:hint="eastAsia" w:cs="宋体"/>
                <w:color w:val="auto"/>
                <w:kern w:val="2"/>
                <w:sz w:val="21"/>
                <w:szCs w:val="21"/>
                <w:lang w:bidi="en-US"/>
              </w:rPr>
              <w:t>7、各输送控制必须有过载、短路、过流等保护装置。</w:t>
            </w:r>
          </w:p>
        </w:tc>
        <w:tc>
          <w:tcPr>
            <w:tcW w:w="2268" w:type="dxa"/>
          </w:tcPr>
          <w:p w14:paraId="35C65DB7">
            <w:pPr>
              <w:pStyle w:val="3"/>
              <w:rPr>
                <w:sz w:val="24"/>
                <w:szCs w:val="24"/>
                <w:lang w:eastAsia="zh-CN"/>
              </w:rPr>
            </w:pPr>
          </w:p>
        </w:tc>
      </w:tr>
      <w:tr w14:paraId="5343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restart"/>
            <w:vAlign w:val="center"/>
          </w:tcPr>
          <w:p w14:paraId="4B999AEF">
            <w:pPr>
              <w:pStyle w:val="3"/>
              <w:jc w:val="center"/>
              <w:rPr>
                <w:rFonts w:asciiTheme="minorEastAsia" w:hAnsiTheme="minorEastAsia" w:eastAsiaTheme="minorEastAsia"/>
                <w:b/>
                <w:bCs/>
                <w:sz w:val="21"/>
                <w:szCs w:val="21"/>
                <w:lang w:eastAsia="zh-CN"/>
              </w:rPr>
            </w:pPr>
            <w:r>
              <w:rPr>
                <w:rFonts w:hint="eastAsia" w:asciiTheme="minorEastAsia" w:hAnsiTheme="minorEastAsia" w:eastAsiaTheme="minorEastAsia"/>
                <w:b/>
                <w:bCs/>
                <w:sz w:val="21"/>
                <w:szCs w:val="21"/>
                <w:lang w:eastAsia="zh-CN"/>
              </w:rPr>
              <w:t>六、隔离房</w:t>
            </w:r>
          </w:p>
          <w:p w14:paraId="59C07F01">
            <w:pPr>
              <w:pStyle w:val="3"/>
              <w:jc w:val="center"/>
              <w:rPr>
                <w:rFonts w:asciiTheme="minorEastAsia" w:hAnsiTheme="minorEastAsia" w:eastAsiaTheme="minorEastAsia"/>
                <w:b/>
                <w:bCs/>
                <w:sz w:val="21"/>
                <w:szCs w:val="21"/>
                <w:lang w:eastAsia="zh-CN"/>
              </w:rPr>
            </w:pPr>
            <w:r>
              <w:rPr>
                <w:rFonts w:hint="eastAsia" w:asciiTheme="minorEastAsia" w:hAnsiTheme="minorEastAsia" w:eastAsiaTheme="minorEastAsia"/>
                <w:b/>
                <w:bCs/>
                <w:color w:val="FF0000"/>
                <w:sz w:val="21"/>
                <w:szCs w:val="21"/>
                <w:lang w:eastAsia="zh-CN"/>
              </w:rPr>
              <w:t>（隔离房包含：粉房隔离房，粉末储存间，空调隔离房；恒温恒湿空调自备，投标方负责风管安装）</w:t>
            </w:r>
          </w:p>
        </w:tc>
        <w:tc>
          <w:tcPr>
            <w:tcW w:w="5386" w:type="dxa"/>
            <w:vAlign w:val="center"/>
          </w:tcPr>
          <w:p w14:paraId="48D5241A">
            <w:pPr>
              <w:pStyle w:val="3"/>
              <w:spacing w:before="0" w:line="500" w:lineRule="exact"/>
              <w:rPr>
                <w:sz w:val="21"/>
                <w:szCs w:val="21"/>
                <w:lang w:eastAsia="zh-CN"/>
              </w:rPr>
            </w:pPr>
            <w:r>
              <w:rPr>
                <w:rFonts w:hint="eastAsia"/>
                <w:sz w:val="21"/>
                <w:szCs w:val="21"/>
                <w:lang w:eastAsia="zh-CN"/>
              </w:rPr>
              <w:t>1、</w:t>
            </w:r>
            <w:r>
              <w:rPr>
                <w:sz w:val="21"/>
                <w:szCs w:val="21"/>
                <w:lang w:eastAsia="zh-CN"/>
              </w:rPr>
              <w:t>喷粉</w:t>
            </w:r>
            <w:r>
              <w:rPr>
                <w:rFonts w:hint="eastAsia"/>
                <w:sz w:val="21"/>
                <w:szCs w:val="21"/>
                <w:lang w:eastAsia="zh-CN"/>
              </w:rPr>
              <w:t>隔离房主体主体50mm岩棉夹心板（通顶不吊顶）</w:t>
            </w:r>
            <w:r>
              <w:rPr>
                <w:sz w:val="21"/>
                <w:szCs w:val="21"/>
                <w:lang w:eastAsia="zh-CN"/>
              </w:rPr>
              <w:t>。</w:t>
            </w:r>
            <w:r>
              <w:rPr>
                <w:rFonts w:hint="eastAsia"/>
                <w:sz w:val="21"/>
                <w:szCs w:val="21"/>
                <w:lang w:eastAsia="zh-CN"/>
              </w:rPr>
              <w:t>侧板设</w:t>
            </w:r>
            <w:r>
              <w:rPr>
                <w:sz w:val="21"/>
                <w:szCs w:val="21"/>
                <w:lang w:eastAsia="zh-CN"/>
              </w:rPr>
              <w:t>有大面积玻璃窗</w:t>
            </w:r>
            <w:r>
              <w:rPr>
                <w:rFonts w:hint="eastAsia"/>
                <w:sz w:val="21"/>
                <w:szCs w:val="21"/>
                <w:lang w:eastAsia="zh-CN"/>
              </w:rPr>
              <w:t>。</w:t>
            </w:r>
            <w:r>
              <w:rPr>
                <w:sz w:val="21"/>
                <w:szCs w:val="21"/>
                <w:lang w:eastAsia="zh-CN"/>
              </w:rPr>
              <w:t>窗框采用</w:t>
            </w:r>
            <w:r>
              <w:rPr>
                <w:rFonts w:hint="eastAsia"/>
                <w:sz w:val="21"/>
                <w:szCs w:val="21"/>
                <w:lang w:eastAsia="zh-CN"/>
              </w:rPr>
              <w:t>铝型材</w:t>
            </w:r>
            <w:r>
              <w:rPr>
                <w:sz w:val="21"/>
                <w:szCs w:val="21"/>
                <w:lang w:eastAsia="zh-CN"/>
              </w:rPr>
              <w:t>制作</w:t>
            </w:r>
            <w:r>
              <w:rPr>
                <w:rFonts w:hint="eastAsia"/>
                <w:sz w:val="21"/>
                <w:szCs w:val="21"/>
                <w:lang w:eastAsia="zh-CN"/>
              </w:rPr>
              <w:t>；</w:t>
            </w:r>
            <w:r>
              <w:rPr>
                <w:sz w:val="21"/>
                <w:szCs w:val="21"/>
                <w:lang w:eastAsia="zh-CN"/>
              </w:rPr>
              <w:t>玻璃窗采用</w:t>
            </w:r>
            <w:r>
              <w:rPr>
                <w:rFonts w:hint="eastAsia"/>
                <w:sz w:val="21"/>
                <w:szCs w:val="21"/>
                <w:lang w:eastAsia="zh-CN"/>
              </w:rPr>
              <w:t>10</w:t>
            </w:r>
            <w:r>
              <w:rPr>
                <w:sz w:val="21"/>
                <w:szCs w:val="21"/>
                <w:lang w:eastAsia="zh-CN"/>
              </w:rPr>
              <w:t>mm</w:t>
            </w:r>
            <w:r>
              <w:rPr>
                <w:rFonts w:hint="eastAsia"/>
                <w:sz w:val="21"/>
                <w:szCs w:val="21"/>
                <w:lang w:eastAsia="zh-CN"/>
              </w:rPr>
              <w:t>钢化</w:t>
            </w:r>
            <w:r>
              <w:rPr>
                <w:sz w:val="21"/>
                <w:szCs w:val="21"/>
                <w:lang w:eastAsia="zh-CN"/>
              </w:rPr>
              <w:t>玻璃板制作</w:t>
            </w:r>
            <w:r>
              <w:rPr>
                <w:rFonts w:hint="eastAsia"/>
                <w:sz w:val="21"/>
                <w:szCs w:val="21"/>
                <w:lang w:eastAsia="zh-CN"/>
              </w:rPr>
              <w:t>，</w:t>
            </w:r>
            <w:r>
              <w:rPr>
                <w:rFonts w:hint="eastAsia"/>
                <w:b/>
                <w:bCs/>
                <w:color w:val="FF0000"/>
                <w:sz w:val="21"/>
                <w:szCs w:val="21"/>
                <w:highlight w:val="yellow"/>
                <w:lang w:eastAsia="zh-CN"/>
              </w:rPr>
              <w:t>采用无硅密封胶</w:t>
            </w:r>
            <w:r>
              <w:rPr>
                <w:b/>
                <w:bCs/>
                <w:color w:val="FF0000"/>
                <w:sz w:val="21"/>
                <w:szCs w:val="21"/>
                <w:highlight w:val="yellow"/>
                <w:lang w:eastAsia="zh-CN"/>
              </w:rPr>
              <w:t>。</w:t>
            </w:r>
            <w:r>
              <w:rPr>
                <w:rFonts w:hint="eastAsia"/>
                <w:sz w:val="21"/>
                <w:szCs w:val="21"/>
                <w:lang w:eastAsia="zh-CN"/>
              </w:rPr>
              <w:t>外框包边和包角采用铝型材制作。</w:t>
            </w:r>
            <w:r>
              <w:rPr>
                <w:sz w:val="21"/>
                <w:szCs w:val="21"/>
                <w:lang w:eastAsia="zh-CN"/>
              </w:rPr>
              <w:t>在喷粉</w:t>
            </w:r>
            <w:r>
              <w:rPr>
                <w:rFonts w:hint="eastAsia"/>
                <w:sz w:val="21"/>
                <w:szCs w:val="21"/>
                <w:lang w:eastAsia="zh-CN"/>
              </w:rPr>
              <w:t>隔离房的</w:t>
            </w:r>
            <w:r>
              <w:rPr>
                <w:sz w:val="21"/>
                <w:szCs w:val="21"/>
                <w:lang w:eastAsia="zh-CN"/>
              </w:rPr>
              <w:t>顶部安装防爆照明灯组，</w:t>
            </w:r>
            <w:r>
              <w:rPr>
                <w:rFonts w:hint="eastAsia"/>
                <w:sz w:val="21"/>
                <w:szCs w:val="21"/>
                <w:lang w:eastAsia="zh-CN"/>
              </w:rPr>
              <w:t>喷粉隔离房</w:t>
            </w:r>
            <w:r>
              <w:rPr>
                <w:sz w:val="21"/>
                <w:szCs w:val="21"/>
                <w:lang w:eastAsia="zh-CN"/>
              </w:rPr>
              <w:t>内的照度</w:t>
            </w:r>
            <w:r>
              <w:rPr>
                <w:rFonts w:hint="eastAsia"/>
                <w:sz w:val="21"/>
                <w:szCs w:val="21"/>
                <w:lang w:eastAsia="zh-CN"/>
              </w:rPr>
              <w:t>要</w:t>
            </w:r>
            <w:r>
              <w:rPr>
                <w:sz w:val="21"/>
                <w:szCs w:val="21"/>
                <w:lang w:eastAsia="zh-CN"/>
              </w:rPr>
              <w:t>达到500Lx。</w:t>
            </w:r>
          </w:p>
        </w:tc>
        <w:tc>
          <w:tcPr>
            <w:tcW w:w="2268" w:type="dxa"/>
          </w:tcPr>
          <w:p w14:paraId="33D6D203">
            <w:pPr>
              <w:pStyle w:val="3"/>
              <w:rPr>
                <w:sz w:val="24"/>
                <w:szCs w:val="24"/>
                <w:lang w:eastAsia="zh-CN"/>
              </w:rPr>
            </w:pPr>
          </w:p>
        </w:tc>
      </w:tr>
      <w:tr w14:paraId="743A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61474E0C">
            <w:pPr>
              <w:pStyle w:val="3"/>
              <w:jc w:val="center"/>
              <w:rPr>
                <w:rFonts w:asciiTheme="minorEastAsia" w:hAnsiTheme="minorEastAsia" w:eastAsiaTheme="minorEastAsia"/>
                <w:b/>
                <w:bCs/>
                <w:sz w:val="21"/>
                <w:szCs w:val="21"/>
                <w:lang w:eastAsia="zh-CN"/>
              </w:rPr>
            </w:pPr>
          </w:p>
        </w:tc>
        <w:tc>
          <w:tcPr>
            <w:tcW w:w="5386" w:type="dxa"/>
            <w:vAlign w:val="center"/>
          </w:tcPr>
          <w:p w14:paraId="078A1095">
            <w:pPr>
              <w:pStyle w:val="3"/>
              <w:spacing w:before="0" w:line="500" w:lineRule="exact"/>
              <w:rPr>
                <w:sz w:val="21"/>
                <w:szCs w:val="21"/>
                <w:lang w:eastAsia="zh-CN"/>
              </w:rPr>
            </w:pPr>
            <w:r>
              <w:rPr>
                <w:rFonts w:hint="eastAsia"/>
                <w:sz w:val="21"/>
                <w:szCs w:val="21"/>
                <w:lang w:eastAsia="zh-CN"/>
              </w:rPr>
              <w:t>2、隔房空调系统本工程为粉房空调工程，工程包括空调的设计安装，使粉房空间在生产时温度保持22-28℃之间，湿度保持在40%-70%之间，粉房隔离房面积90㎡。所有区域空调系统设计，仅考虑夏季供冷降温，不考虑冬季采暖。粉房隔离间空调主机选用格力40匹水冷单元式空调机组，冷量为130KW,风量为22000m3/h。冷却塔置于机房楼顶，水系统管路为异程布置，冷却塔选用广州明新冷却塔、水泵选用肯富莱管道泵。空调水塔水泵自动控制，开机时用户只需按空调开关键，水泵水塔便自动运行，水流稳定后空调机组便自动运行，空调温度达到用户设定温度后，压缩机停止，随后水泵水塔在动停止，温度升高后又自动投入运行。</w:t>
            </w:r>
          </w:p>
        </w:tc>
        <w:tc>
          <w:tcPr>
            <w:tcW w:w="2268" w:type="dxa"/>
          </w:tcPr>
          <w:p w14:paraId="56AADF06">
            <w:pPr>
              <w:pStyle w:val="3"/>
              <w:rPr>
                <w:sz w:val="24"/>
                <w:szCs w:val="24"/>
                <w:lang w:eastAsia="zh-CN"/>
              </w:rPr>
            </w:pPr>
          </w:p>
        </w:tc>
      </w:tr>
      <w:tr w14:paraId="75C1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restart"/>
            <w:vAlign w:val="center"/>
          </w:tcPr>
          <w:p w14:paraId="0C0537C1">
            <w:pPr>
              <w:pStyle w:val="3"/>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七、电气控制系统</w:t>
            </w:r>
          </w:p>
        </w:tc>
        <w:tc>
          <w:tcPr>
            <w:tcW w:w="5386" w:type="dxa"/>
            <w:vAlign w:val="center"/>
          </w:tcPr>
          <w:p w14:paraId="7BAFB66B">
            <w:pPr>
              <w:spacing w:line="500" w:lineRule="exact"/>
              <w:rPr>
                <w:rFonts w:ascii="宋体" w:hAnsi="宋体" w:cs="宋体"/>
                <w:b/>
                <w:bCs/>
                <w:szCs w:val="21"/>
                <w:lang w:bidi="en-US"/>
              </w:rPr>
            </w:pPr>
            <w:r>
              <w:rPr>
                <w:rFonts w:hint="eastAsia" w:ascii="宋体" w:hAnsi="宋体" w:cs="宋体"/>
                <w:b/>
                <w:bCs/>
                <w:szCs w:val="21"/>
                <w:lang w:bidi="en-US"/>
              </w:rPr>
              <w:t>1、电气系统特点描述</w:t>
            </w:r>
          </w:p>
          <w:p w14:paraId="419F03E4">
            <w:pPr>
              <w:spacing w:line="500" w:lineRule="exact"/>
              <w:rPr>
                <w:rFonts w:ascii="宋体" w:hAnsi="宋体" w:cs="宋体"/>
                <w:szCs w:val="21"/>
                <w:lang w:bidi="en-US"/>
              </w:rPr>
            </w:pPr>
            <w:r>
              <w:rPr>
                <w:rFonts w:hint="eastAsia" w:ascii="宋体" w:hAnsi="宋体" w:cs="宋体"/>
                <w:szCs w:val="21"/>
                <w:lang w:bidi="en-US"/>
              </w:rPr>
              <w:t xml:space="preserve">系统包括全部电气控制中的控制箱、控制柜、电线、电缆及穿线管、桥架等。 </w:t>
            </w:r>
          </w:p>
          <w:p w14:paraId="0C6509B0">
            <w:pPr>
              <w:spacing w:line="500" w:lineRule="exact"/>
              <w:rPr>
                <w:rFonts w:ascii="宋体" w:hAnsi="宋体" w:cs="宋体"/>
                <w:szCs w:val="21"/>
                <w:lang w:bidi="en-US"/>
              </w:rPr>
            </w:pPr>
            <w:r>
              <w:rPr>
                <w:rFonts w:hint="eastAsia" w:ascii="宋体" w:hAnsi="宋体" w:cs="宋体"/>
                <w:szCs w:val="21"/>
                <w:lang w:bidi="en-US"/>
              </w:rPr>
              <w:t>采用PLC及触摸屏控制，电控柜布局合理，排列整齐，接线线路走向整齐分明，柜内宽敞。 电控柜内线路布置整齐合理，元件布置排列按功能分区。</w:t>
            </w:r>
          </w:p>
          <w:p w14:paraId="1B315FD5">
            <w:pPr>
              <w:spacing w:line="500" w:lineRule="exact"/>
              <w:rPr>
                <w:rFonts w:ascii="宋体" w:hAnsi="宋体" w:cs="宋体"/>
                <w:szCs w:val="21"/>
                <w:lang w:bidi="en-US"/>
              </w:rPr>
            </w:pPr>
            <w:r>
              <w:rPr>
                <w:rFonts w:hint="eastAsia" w:ascii="宋体" w:hAnsi="宋体" w:cs="宋体"/>
                <w:szCs w:val="21"/>
                <w:lang w:bidi="en-US"/>
              </w:rPr>
              <w:t>电气设备的设计与安装符合国家有关安全之要求。</w:t>
            </w:r>
          </w:p>
          <w:p w14:paraId="50363F60">
            <w:pPr>
              <w:spacing w:line="500" w:lineRule="exact"/>
              <w:rPr>
                <w:rFonts w:ascii="宋体" w:hAnsi="宋体" w:cs="宋体"/>
                <w:szCs w:val="21"/>
                <w:lang w:bidi="en-US"/>
              </w:rPr>
            </w:pPr>
            <w:r>
              <w:rPr>
                <w:rFonts w:hint="eastAsia" w:ascii="宋体" w:hAnsi="宋体" w:cs="宋体"/>
                <w:szCs w:val="21"/>
                <w:lang w:bidi="en-US"/>
              </w:rPr>
              <w:t xml:space="preserve">所有电气控制柜内设置排气装置，确保柜内电器元件散热良好。 </w:t>
            </w:r>
          </w:p>
          <w:p w14:paraId="4C2A2D47">
            <w:pPr>
              <w:spacing w:line="500" w:lineRule="exact"/>
              <w:rPr>
                <w:rFonts w:ascii="宋体" w:hAnsi="宋体" w:cs="宋体"/>
                <w:szCs w:val="21"/>
                <w:lang w:bidi="en-US"/>
              </w:rPr>
            </w:pPr>
            <w:r>
              <w:rPr>
                <w:rFonts w:hint="eastAsia" w:ascii="宋体" w:hAnsi="宋体" w:cs="宋体"/>
                <w:szCs w:val="21"/>
                <w:lang w:bidi="en-US"/>
              </w:rPr>
              <w:t>电柜设置手动和自动控制功能，手动控制时，各台控制柜上分别有对应的开关分别控制。 自动控制时，该套设备应按设计好的顺序自动启动；停车时也顺序停车。</w:t>
            </w:r>
          </w:p>
          <w:p w14:paraId="0917C9BF">
            <w:pPr>
              <w:spacing w:line="500" w:lineRule="exact"/>
              <w:rPr>
                <w:rFonts w:ascii="宋体" w:hAnsi="宋体" w:cs="宋体"/>
                <w:szCs w:val="21"/>
                <w:lang w:bidi="en-US"/>
              </w:rPr>
            </w:pPr>
            <w:r>
              <w:rPr>
                <w:rFonts w:hint="eastAsia" w:ascii="宋体" w:hAnsi="宋体" w:cs="宋体"/>
                <w:szCs w:val="21"/>
                <w:lang w:bidi="en-US"/>
              </w:rPr>
              <w:t xml:space="preserve">电气控制系统的设计应考虑各分系统相互之间必要的电路联锁，提高整个电气控制系统 的安全性能。整个系统接地良好，并作好标示。电机采用带过载保护、短路保护及断相 保护的线路设计。 </w:t>
            </w:r>
          </w:p>
          <w:p w14:paraId="70A36CC4">
            <w:pPr>
              <w:spacing w:line="500" w:lineRule="exact"/>
              <w:rPr>
                <w:rFonts w:ascii="宋体" w:hAnsi="宋体" w:cs="宋体"/>
                <w:szCs w:val="21"/>
                <w:lang w:bidi="en-US"/>
              </w:rPr>
            </w:pPr>
            <w:r>
              <w:rPr>
                <w:rFonts w:hint="eastAsia" w:ascii="宋体" w:hAnsi="宋体" w:cs="宋体"/>
                <w:szCs w:val="21"/>
                <w:lang w:bidi="en-US"/>
              </w:rPr>
              <w:t xml:space="preserve">有良好的接地，抵抗500M以上，可能对人体造成伤害部分有良好的接地。 </w:t>
            </w:r>
          </w:p>
          <w:p w14:paraId="489086E0">
            <w:pPr>
              <w:spacing w:line="500" w:lineRule="exact"/>
              <w:rPr>
                <w:rFonts w:ascii="宋体" w:hAnsi="宋体" w:cs="宋体"/>
                <w:szCs w:val="21"/>
                <w:lang w:bidi="en-US"/>
              </w:rPr>
            </w:pPr>
            <w:r>
              <w:rPr>
                <w:rFonts w:hint="eastAsia" w:ascii="宋体" w:hAnsi="宋体" w:cs="宋体"/>
                <w:szCs w:val="21"/>
                <w:lang w:bidi="en-US"/>
              </w:rPr>
              <w:t>对人体造成伤害的部分安装安全门或安全保护罩。</w:t>
            </w:r>
          </w:p>
          <w:p w14:paraId="6B9319F6">
            <w:pPr>
              <w:spacing w:line="500" w:lineRule="exact"/>
              <w:rPr>
                <w:rFonts w:ascii="宋体" w:hAnsi="宋体" w:cs="宋体"/>
                <w:szCs w:val="21"/>
                <w:lang w:bidi="en-US"/>
              </w:rPr>
            </w:pPr>
            <w:r>
              <w:rPr>
                <w:rFonts w:hint="eastAsia" w:ascii="宋体" w:hAnsi="宋体" w:cs="宋体"/>
                <w:szCs w:val="21"/>
                <w:lang w:bidi="en-US"/>
              </w:rPr>
              <w:t xml:space="preserve">非常停止开关设置：在各操作箱的表面设置紧急停止按钮，作业岗位操作开关旁也设置 紧急停止开按钮及报警器。 </w:t>
            </w:r>
          </w:p>
          <w:p w14:paraId="0557E35D">
            <w:pPr>
              <w:spacing w:line="500" w:lineRule="exact"/>
              <w:rPr>
                <w:rFonts w:ascii="宋体" w:hAnsi="宋体" w:cs="宋体"/>
                <w:szCs w:val="21"/>
                <w:lang w:bidi="en-US"/>
              </w:rPr>
            </w:pPr>
            <w:r>
              <w:rPr>
                <w:rFonts w:hint="eastAsia" w:ascii="宋体" w:hAnsi="宋体" w:cs="宋体"/>
                <w:szCs w:val="21"/>
                <w:lang w:bidi="en-US"/>
              </w:rPr>
              <w:t xml:space="preserve">控制面板上锁，防未授权人任意改动。 </w:t>
            </w:r>
          </w:p>
          <w:p w14:paraId="17BA16F8">
            <w:pPr>
              <w:spacing w:line="500" w:lineRule="exact"/>
              <w:rPr>
                <w:rFonts w:ascii="宋体" w:hAnsi="宋体" w:cs="宋体"/>
                <w:szCs w:val="21"/>
                <w:lang w:bidi="en-US"/>
              </w:rPr>
            </w:pPr>
            <w:r>
              <w:rPr>
                <w:rFonts w:hint="eastAsia" w:ascii="宋体" w:hAnsi="宋体" w:cs="宋体"/>
                <w:szCs w:val="21"/>
                <w:lang w:bidi="en-US"/>
              </w:rPr>
              <w:t xml:space="preserve">传送速度控制器和其它仪表，应连接到数字指示仪上，以读取并监控数据。 </w:t>
            </w:r>
          </w:p>
          <w:p w14:paraId="590FD3B3">
            <w:pPr>
              <w:spacing w:line="500" w:lineRule="exact"/>
              <w:rPr>
                <w:rFonts w:ascii="宋体" w:hAnsi="宋体" w:cs="宋体"/>
                <w:szCs w:val="21"/>
                <w:lang w:bidi="en-US"/>
              </w:rPr>
            </w:pPr>
            <w:r>
              <w:rPr>
                <w:rFonts w:hint="eastAsia" w:ascii="宋体" w:hAnsi="宋体" w:cs="宋体"/>
                <w:szCs w:val="21"/>
                <w:lang w:bidi="en-US"/>
              </w:rPr>
              <w:t xml:space="preserve">lPLC输入、输出点预留10%,模拟量输入、输出预留2点。 </w:t>
            </w:r>
          </w:p>
          <w:p w14:paraId="4F396F4A">
            <w:pPr>
              <w:spacing w:line="500" w:lineRule="exact"/>
              <w:rPr>
                <w:rFonts w:ascii="宋体" w:hAnsi="宋体" w:cs="宋体"/>
                <w:szCs w:val="21"/>
                <w:lang w:bidi="en-US"/>
              </w:rPr>
            </w:pPr>
            <w:r>
              <w:rPr>
                <w:rFonts w:hint="eastAsia" w:ascii="宋体" w:hAnsi="宋体" w:cs="宋体"/>
                <w:szCs w:val="21"/>
                <w:lang w:bidi="en-US"/>
              </w:rPr>
              <w:t xml:space="preserve">各类电线两端设有线号，且标志、线号与原理图一致。 </w:t>
            </w:r>
          </w:p>
          <w:p w14:paraId="696F4DFC">
            <w:pPr>
              <w:spacing w:line="500" w:lineRule="exact"/>
              <w:rPr>
                <w:rFonts w:ascii="宋体" w:hAnsi="宋体" w:cs="宋体"/>
                <w:szCs w:val="21"/>
                <w:lang w:bidi="en-US"/>
              </w:rPr>
            </w:pPr>
            <w:r>
              <w:rPr>
                <w:rFonts w:hint="eastAsia" w:ascii="宋体" w:hAnsi="宋体" w:cs="宋体"/>
                <w:szCs w:val="21"/>
                <w:lang w:bidi="en-US"/>
              </w:rPr>
              <w:t xml:space="preserve">电控柜内线路布置整齐合理，元件布置排列按功能分区。 </w:t>
            </w:r>
          </w:p>
          <w:p w14:paraId="6E0FB029">
            <w:pPr>
              <w:spacing w:line="500" w:lineRule="exact"/>
              <w:rPr>
                <w:rFonts w:ascii="宋体" w:hAnsi="宋体" w:cs="宋体"/>
                <w:szCs w:val="21"/>
                <w:lang w:bidi="en-US"/>
              </w:rPr>
            </w:pPr>
            <w:r>
              <w:rPr>
                <w:rFonts w:hint="eastAsia" w:ascii="宋体" w:hAnsi="宋体" w:cs="宋体"/>
                <w:szCs w:val="21"/>
                <w:lang w:bidi="en-US"/>
              </w:rPr>
              <w:t xml:space="preserve">全线PLC控制设自动及手动两种控制模式，在自动控制模式下，可以分区按下自动启动按钮，每区将按顺序自动投入运行，按下自动停止按钮，系统将按顺序自动停止；在手动控制模式下，各设备可用按钮独立进行启动/停止。 </w:t>
            </w:r>
          </w:p>
          <w:p w14:paraId="6AE5F925">
            <w:pPr>
              <w:spacing w:line="500" w:lineRule="exact"/>
              <w:rPr>
                <w:rFonts w:ascii="宋体" w:hAnsi="宋体" w:cs="宋体"/>
                <w:szCs w:val="21"/>
                <w:lang w:bidi="en-US"/>
              </w:rPr>
            </w:pPr>
            <w:r>
              <w:rPr>
                <w:rFonts w:hint="eastAsia" w:ascii="宋体" w:hAnsi="宋体" w:cs="宋体"/>
                <w:szCs w:val="21"/>
                <w:lang w:bidi="en-US"/>
              </w:rPr>
              <w:t>电机采用带过载保护、短路保护及断相保护的线路设计，7.5kW以上的电机采用 Y—  Δ启动方式。</w:t>
            </w:r>
          </w:p>
          <w:p w14:paraId="13940225">
            <w:pPr>
              <w:spacing w:line="500" w:lineRule="exact"/>
              <w:rPr>
                <w:rFonts w:ascii="宋体" w:hAnsi="宋体" w:cs="宋体"/>
                <w:szCs w:val="21"/>
                <w:lang w:bidi="en-US"/>
              </w:rPr>
            </w:pPr>
            <w:r>
              <w:rPr>
                <w:rFonts w:hint="eastAsia" w:ascii="宋体" w:hAnsi="宋体" w:cs="宋体"/>
                <w:szCs w:val="21"/>
                <w:lang w:bidi="en-US"/>
              </w:rPr>
              <w:t>所有电器安装均符合安全要求。电气控制系统的设计应考虑各分系统相互之间必要的电路联锁，提高整个电气控制系统的安全性能。整个系统电器与接地点接触良好，并作好标识。</w:t>
            </w:r>
          </w:p>
          <w:p w14:paraId="3023091A">
            <w:pPr>
              <w:spacing w:line="500" w:lineRule="exact"/>
              <w:rPr>
                <w:rFonts w:ascii="宋体" w:hAnsi="宋体" w:cs="宋体"/>
                <w:szCs w:val="21"/>
                <w:lang w:bidi="en-US"/>
              </w:rPr>
            </w:pPr>
            <w:r>
              <w:rPr>
                <w:rFonts w:hint="eastAsia" w:ascii="宋体" w:hAnsi="宋体" w:cs="宋体"/>
                <w:szCs w:val="21"/>
                <w:lang w:bidi="en-US"/>
              </w:rPr>
              <w:t>线路编号、标号采用电脑打标明示。</w:t>
            </w:r>
          </w:p>
          <w:p w14:paraId="4B21051C">
            <w:pPr>
              <w:spacing w:line="500" w:lineRule="exact"/>
              <w:rPr>
                <w:rFonts w:ascii="宋体" w:hAnsi="宋体" w:cs="宋体"/>
                <w:szCs w:val="21"/>
                <w:lang w:bidi="en-US"/>
              </w:rPr>
            </w:pPr>
            <w:r>
              <w:rPr>
                <w:rFonts w:hint="eastAsia" w:ascii="宋体" w:hAnsi="宋体" w:cs="宋体"/>
                <w:szCs w:val="21"/>
                <w:lang w:bidi="en-US"/>
              </w:rPr>
              <w:t>控制柜前门后门，单安装板。</w:t>
            </w:r>
          </w:p>
          <w:p w14:paraId="4CCDD4C5">
            <w:pPr>
              <w:spacing w:line="500" w:lineRule="exact"/>
              <w:rPr>
                <w:rFonts w:ascii="宋体" w:hAnsi="宋体" w:cs="宋体"/>
                <w:szCs w:val="21"/>
                <w:lang w:bidi="en-US"/>
              </w:rPr>
            </w:pPr>
            <w:r>
              <w:rPr>
                <w:rFonts w:hint="eastAsia" w:ascii="宋体" w:hAnsi="宋体" w:cs="宋体"/>
                <w:szCs w:val="21"/>
                <w:lang w:bidi="en-US"/>
              </w:rPr>
              <w:t xml:space="preserve">控制柜底座高度100mm。 </w:t>
            </w:r>
          </w:p>
          <w:p w14:paraId="0F685BFE">
            <w:pPr>
              <w:spacing w:line="500" w:lineRule="exact"/>
              <w:rPr>
                <w:rFonts w:ascii="宋体" w:hAnsi="宋体" w:cs="宋体"/>
                <w:szCs w:val="21"/>
                <w:lang w:bidi="en-US"/>
              </w:rPr>
            </w:pPr>
            <w:r>
              <w:rPr>
                <w:rFonts w:hint="eastAsia" w:ascii="宋体" w:hAnsi="宋体" w:cs="宋体"/>
                <w:szCs w:val="21"/>
                <w:lang w:bidi="en-US"/>
              </w:rPr>
              <w:t xml:space="preserve">控制柜密闭良好，可分组联接，每组间接地线可靠连接，动力柜顶安装两套散热排风扇,保证空气流通。 </w:t>
            </w:r>
          </w:p>
          <w:p w14:paraId="319DCB42">
            <w:pPr>
              <w:spacing w:line="500" w:lineRule="exact"/>
              <w:rPr>
                <w:rFonts w:ascii="宋体" w:hAnsi="宋体" w:cs="宋体"/>
                <w:szCs w:val="21"/>
                <w:lang w:bidi="en-US"/>
              </w:rPr>
            </w:pPr>
            <w:r>
              <w:rPr>
                <w:rFonts w:hint="eastAsia" w:ascii="宋体" w:hAnsi="宋体" w:cs="宋体"/>
                <w:szCs w:val="21"/>
                <w:lang w:bidi="en-US"/>
              </w:rPr>
              <w:t xml:space="preserve">总电源柜配置空气断路器,为本站提供电源，并且具备欠压脱扣、缺相保护、短路保 护、过载保护和接地保护功能，当以上故障发生时，空气断路器断开，隔离供电母线。 </w:t>
            </w:r>
          </w:p>
          <w:p w14:paraId="0D8B6E5C">
            <w:pPr>
              <w:spacing w:line="500" w:lineRule="exact"/>
              <w:rPr>
                <w:rFonts w:ascii="宋体" w:hAnsi="宋体" w:cs="宋体"/>
                <w:szCs w:val="21"/>
                <w:lang w:bidi="en-US"/>
              </w:rPr>
            </w:pPr>
            <w:r>
              <w:rPr>
                <w:rFonts w:hint="eastAsia" w:ascii="宋体" w:hAnsi="宋体" w:cs="宋体"/>
                <w:szCs w:val="21"/>
                <w:lang w:bidi="en-US"/>
              </w:rPr>
              <w:t xml:space="preserve">控制柜面板配置三相电源指示灯（黄色、绿色、红色）。 </w:t>
            </w:r>
          </w:p>
          <w:p w14:paraId="3915688F">
            <w:pPr>
              <w:spacing w:line="500" w:lineRule="exact"/>
              <w:rPr>
                <w:rFonts w:ascii="宋体" w:hAnsi="宋体" w:cs="宋体"/>
                <w:szCs w:val="21"/>
                <w:lang w:bidi="en-US"/>
              </w:rPr>
            </w:pPr>
            <w:r>
              <w:rPr>
                <w:rFonts w:hint="eastAsia" w:ascii="宋体" w:hAnsi="宋体" w:cs="宋体"/>
                <w:szCs w:val="21"/>
                <w:lang w:bidi="en-US"/>
              </w:rPr>
              <w:t xml:space="preserve">控制柜设置门开关，开启照明电源。 </w:t>
            </w:r>
          </w:p>
          <w:p w14:paraId="05590514">
            <w:pPr>
              <w:spacing w:line="500" w:lineRule="exact"/>
              <w:rPr>
                <w:rFonts w:ascii="宋体" w:hAnsi="宋体" w:cs="宋体"/>
                <w:szCs w:val="21"/>
                <w:lang w:bidi="en-US"/>
              </w:rPr>
            </w:pPr>
            <w:r>
              <w:rPr>
                <w:rFonts w:hint="eastAsia" w:ascii="宋体" w:hAnsi="宋体" w:cs="宋体"/>
                <w:szCs w:val="21"/>
                <w:lang w:bidi="en-US"/>
              </w:rPr>
              <w:t>供电方式(甲方提供)：三相AC380V±10% 50Hz（+0.5Hz-1Hz）TN-C系统。</w:t>
            </w:r>
          </w:p>
          <w:p w14:paraId="43247C8C">
            <w:pPr>
              <w:spacing w:line="500" w:lineRule="exact"/>
              <w:rPr>
                <w:rFonts w:ascii="宋体" w:hAnsi="宋体" w:cs="宋体"/>
                <w:szCs w:val="21"/>
                <w:lang w:bidi="en-US"/>
              </w:rPr>
            </w:pPr>
            <w:r>
              <w:rPr>
                <w:rFonts w:hint="eastAsia" w:ascii="宋体" w:hAnsi="宋体" w:cs="宋体"/>
                <w:szCs w:val="21"/>
                <w:lang w:bidi="en-US"/>
              </w:rPr>
              <w:t xml:space="preserve">电缆桥架充分考虑所承受负载的重量，桥架整体结实、不变形，长度2000mm/根，每 根之间配连接片，且连接片外部安装，能够直接观察到，镀锌线槽内电缆所占空间不超 50%。 </w:t>
            </w:r>
          </w:p>
          <w:p w14:paraId="69CAEE1C">
            <w:pPr>
              <w:spacing w:line="500" w:lineRule="exact"/>
              <w:rPr>
                <w:rFonts w:ascii="宋体" w:hAnsi="宋体" w:cs="宋体"/>
                <w:szCs w:val="21"/>
                <w:lang w:bidi="en-US"/>
              </w:rPr>
            </w:pPr>
            <w:r>
              <w:rPr>
                <w:rFonts w:hint="eastAsia" w:ascii="宋体" w:hAnsi="宋体" w:cs="宋体"/>
                <w:szCs w:val="21"/>
                <w:lang w:bidi="en-US"/>
              </w:rPr>
              <w:t xml:space="preserve">电线、电缆：所有电线电缆必须采用国内知名品牌，并符合国标规定。 </w:t>
            </w:r>
          </w:p>
          <w:p w14:paraId="291D8D8D">
            <w:pPr>
              <w:spacing w:line="500" w:lineRule="exact"/>
              <w:rPr>
                <w:rFonts w:ascii="宋体" w:hAnsi="宋体" w:cs="宋体"/>
                <w:szCs w:val="21"/>
                <w:lang w:bidi="en-US"/>
              </w:rPr>
            </w:pPr>
            <w:r>
              <w:rPr>
                <w:rFonts w:hint="eastAsia" w:ascii="宋体" w:hAnsi="宋体" w:cs="宋体"/>
                <w:szCs w:val="21"/>
                <w:lang w:bidi="en-US"/>
              </w:rPr>
              <w:t>设备接地≤4Ω</w:t>
            </w:r>
          </w:p>
          <w:p w14:paraId="6DCC2AD8">
            <w:pPr>
              <w:spacing w:line="500" w:lineRule="exact"/>
              <w:rPr>
                <w:rFonts w:ascii="宋体" w:hAnsi="宋体" w:cs="宋体"/>
                <w:szCs w:val="21"/>
                <w:lang w:bidi="en-US"/>
              </w:rPr>
            </w:pPr>
            <w:r>
              <w:rPr>
                <w:rFonts w:hint="eastAsia" w:ascii="宋体" w:hAnsi="宋体" w:cs="宋体"/>
                <w:szCs w:val="21"/>
                <w:lang w:bidi="en-US"/>
              </w:rPr>
              <w:t>控制柜面板安装触摸屏，作为人机信息交互界面。</w:t>
            </w:r>
          </w:p>
          <w:p w14:paraId="4C948B64">
            <w:pPr>
              <w:spacing w:line="500" w:lineRule="exact"/>
              <w:rPr>
                <w:rFonts w:ascii="宋体" w:hAnsi="宋体" w:cs="宋体"/>
                <w:szCs w:val="21"/>
                <w:lang w:bidi="en-US"/>
              </w:rPr>
            </w:pPr>
            <w:r>
              <w:rPr>
                <w:rFonts w:hint="eastAsia" w:ascii="宋体" w:hAnsi="宋体" w:cs="宋体"/>
                <w:szCs w:val="21"/>
                <w:lang w:bidi="en-US"/>
              </w:rPr>
              <w:t>触摸屏，不小于10寸。</w:t>
            </w:r>
          </w:p>
          <w:p w14:paraId="3F388DB4">
            <w:pPr>
              <w:spacing w:line="500" w:lineRule="exact"/>
              <w:rPr>
                <w:rFonts w:ascii="宋体" w:hAnsi="宋体" w:cs="宋体"/>
                <w:szCs w:val="21"/>
                <w:lang w:bidi="en-US"/>
              </w:rPr>
            </w:pPr>
            <w:r>
              <w:rPr>
                <w:rFonts w:hint="eastAsia" w:ascii="宋体" w:hAnsi="宋体" w:cs="宋体"/>
                <w:szCs w:val="21"/>
                <w:lang w:bidi="en-US"/>
              </w:rPr>
              <w:t>控制柜顶部安装声光警示器，用于指示生产线运行、停止、故障状态。</w:t>
            </w:r>
          </w:p>
        </w:tc>
        <w:tc>
          <w:tcPr>
            <w:tcW w:w="2268" w:type="dxa"/>
          </w:tcPr>
          <w:p w14:paraId="77A0FAC5">
            <w:pPr>
              <w:pStyle w:val="3"/>
              <w:rPr>
                <w:sz w:val="24"/>
                <w:szCs w:val="24"/>
                <w:lang w:eastAsia="zh-CN"/>
              </w:rPr>
            </w:pPr>
          </w:p>
        </w:tc>
      </w:tr>
      <w:tr w14:paraId="0805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2D09F9DC">
            <w:pPr>
              <w:pStyle w:val="3"/>
              <w:jc w:val="center"/>
              <w:rPr>
                <w:rFonts w:asciiTheme="minorEastAsia" w:hAnsiTheme="minorEastAsia" w:eastAsiaTheme="minorEastAsia"/>
                <w:b/>
                <w:bCs/>
                <w:sz w:val="21"/>
                <w:szCs w:val="21"/>
                <w:lang w:eastAsia="zh-CN"/>
              </w:rPr>
            </w:pPr>
          </w:p>
        </w:tc>
        <w:tc>
          <w:tcPr>
            <w:tcW w:w="5386" w:type="dxa"/>
            <w:vAlign w:val="center"/>
          </w:tcPr>
          <w:p w14:paraId="1AEEF5CA">
            <w:pPr>
              <w:pStyle w:val="3"/>
              <w:numPr>
                <w:ilvl w:val="0"/>
                <w:numId w:val="1"/>
              </w:numPr>
              <w:spacing w:before="0" w:line="500" w:lineRule="exact"/>
              <w:ind w:left="360" w:hanging="360"/>
              <w:rPr>
                <w:sz w:val="21"/>
                <w:szCs w:val="21"/>
                <w:lang w:eastAsia="zh-CN"/>
              </w:rPr>
            </w:pPr>
            <w:r>
              <w:rPr>
                <w:rFonts w:hint="eastAsia"/>
                <w:sz w:val="21"/>
                <w:szCs w:val="21"/>
                <w:lang w:eastAsia="zh-CN"/>
              </w:rPr>
              <w:t>电控装置用料品牌情况：</w:t>
            </w:r>
          </w:p>
          <w:p w14:paraId="398A75F1">
            <w:pPr>
              <w:pStyle w:val="3"/>
              <w:spacing w:before="0" w:line="500" w:lineRule="exact"/>
              <w:rPr>
                <w:sz w:val="21"/>
                <w:szCs w:val="21"/>
                <w:lang w:eastAsia="zh-CN"/>
              </w:rPr>
            </w:pPr>
            <w:r>
              <w:rPr>
                <w:rFonts w:hint="eastAsia"/>
                <w:sz w:val="21"/>
                <w:szCs w:val="21"/>
                <w:lang w:eastAsia="zh-CN"/>
              </w:rPr>
              <w:t>空气开关、断路器、交流接触器、热继电器、按钮、指示灯采用施耐德</w:t>
            </w:r>
          </w:p>
          <w:p w14:paraId="3B7012FC">
            <w:pPr>
              <w:pStyle w:val="4"/>
              <w:rPr>
                <w:rFonts w:cs="宋体"/>
                <w:color w:val="auto"/>
                <w:kern w:val="2"/>
                <w:sz w:val="21"/>
                <w:szCs w:val="21"/>
                <w:lang w:bidi="en-US"/>
              </w:rPr>
            </w:pPr>
            <w:r>
              <w:rPr>
                <w:rFonts w:hint="eastAsia" w:cs="宋体"/>
                <w:color w:val="auto"/>
                <w:kern w:val="2"/>
                <w:sz w:val="21"/>
                <w:szCs w:val="21"/>
                <w:lang w:bidi="en-US"/>
              </w:rPr>
              <w:t>PLC、变频器、触摸屏采用三菱或西门子</w:t>
            </w:r>
          </w:p>
          <w:p w14:paraId="13C452B6">
            <w:pPr>
              <w:pStyle w:val="4"/>
              <w:rPr>
                <w:rFonts w:cs="宋体"/>
                <w:color w:val="auto"/>
                <w:kern w:val="2"/>
                <w:sz w:val="21"/>
                <w:szCs w:val="21"/>
                <w:lang w:bidi="en-US"/>
              </w:rPr>
            </w:pPr>
            <w:r>
              <w:rPr>
                <w:rFonts w:hint="eastAsia" w:cs="宋体"/>
                <w:color w:val="auto"/>
                <w:kern w:val="2"/>
                <w:sz w:val="21"/>
                <w:szCs w:val="21"/>
                <w:lang w:bidi="en-US"/>
              </w:rPr>
              <w:t>开关电源采用欧姆龙</w:t>
            </w:r>
          </w:p>
          <w:p w14:paraId="72C336B9">
            <w:pPr>
              <w:pStyle w:val="4"/>
              <w:rPr>
                <w:lang w:bidi="en-US"/>
              </w:rPr>
            </w:pPr>
            <w:r>
              <w:rPr>
                <w:rFonts w:hint="eastAsia" w:cs="宋体"/>
                <w:color w:val="auto"/>
                <w:kern w:val="2"/>
                <w:sz w:val="21"/>
                <w:szCs w:val="21"/>
                <w:lang w:bidi="en-US"/>
              </w:rPr>
              <w:t>电缆线采用珠江电缆或金环宇</w:t>
            </w:r>
          </w:p>
        </w:tc>
        <w:tc>
          <w:tcPr>
            <w:tcW w:w="2268" w:type="dxa"/>
          </w:tcPr>
          <w:p w14:paraId="46175430">
            <w:pPr>
              <w:pStyle w:val="3"/>
              <w:rPr>
                <w:sz w:val="24"/>
                <w:szCs w:val="24"/>
                <w:lang w:eastAsia="zh-CN"/>
              </w:rPr>
            </w:pPr>
          </w:p>
        </w:tc>
      </w:tr>
      <w:tr w14:paraId="5490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restart"/>
            <w:vAlign w:val="center"/>
          </w:tcPr>
          <w:p w14:paraId="46919FBE">
            <w:pPr>
              <w:pStyle w:val="3"/>
              <w:jc w:val="center"/>
              <w:rPr>
                <w:rFonts w:asciiTheme="minorEastAsia" w:hAnsiTheme="minorEastAsia" w:eastAsiaTheme="minorEastAsia"/>
                <w:b/>
                <w:bCs/>
                <w:sz w:val="21"/>
                <w:szCs w:val="21"/>
              </w:rPr>
            </w:pPr>
            <w:r>
              <w:rPr>
                <w:rFonts w:hint="eastAsia" w:asciiTheme="minorEastAsia" w:hAnsiTheme="minorEastAsia" w:eastAsiaTheme="minorEastAsia"/>
                <w:b/>
                <w:bCs/>
                <w:sz w:val="21"/>
                <w:szCs w:val="21"/>
              </w:rPr>
              <w:t>八、粉房</w:t>
            </w:r>
          </w:p>
        </w:tc>
        <w:tc>
          <w:tcPr>
            <w:tcW w:w="5386" w:type="dxa"/>
            <w:vAlign w:val="center"/>
          </w:tcPr>
          <w:p w14:paraId="5BAA03A7">
            <w:pPr>
              <w:pStyle w:val="3"/>
              <w:spacing w:before="0" w:line="500" w:lineRule="exact"/>
              <w:rPr>
                <w:sz w:val="21"/>
                <w:szCs w:val="21"/>
                <w:lang w:eastAsia="zh-CN"/>
              </w:rPr>
            </w:pPr>
            <w:r>
              <w:rPr>
                <w:rFonts w:hint="eastAsia"/>
                <w:sz w:val="21"/>
                <w:szCs w:val="21"/>
                <w:lang w:eastAsia="zh-CN"/>
              </w:rPr>
              <w:t>1、反面手补位</w:t>
            </w:r>
            <w:r>
              <w:rPr>
                <w:rFonts w:hint="eastAsia"/>
                <w:sz w:val="21"/>
                <w:szCs w:val="21"/>
                <w:lang w:val="en-US" w:eastAsia="zh-CN"/>
              </w:rPr>
              <w:t>2</w:t>
            </w:r>
            <w:r>
              <w:rPr>
                <w:rFonts w:hint="eastAsia"/>
                <w:sz w:val="21"/>
                <w:szCs w:val="21"/>
                <w:lang w:eastAsia="zh-CN"/>
              </w:rPr>
              <w:t>个，独立粉筒，手喷枪，不得溢粉</w:t>
            </w:r>
          </w:p>
        </w:tc>
        <w:tc>
          <w:tcPr>
            <w:tcW w:w="2268" w:type="dxa"/>
            <w:vMerge w:val="restart"/>
            <w:vAlign w:val="center"/>
          </w:tcPr>
          <w:p w14:paraId="245B1063">
            <w:pPr>
              <w:keepNext w:val="0"/>
              <w:keepLines w:val="0"/>
              <w:widowControl/>
              <w:suppressLineNumbers w:val="0"/>
              <w:jc w:val="center"/>
              <w:rPr>
                <w:rFonts w:hint="default"/>
                <w:sz w:val="24"/>
                <w:szCs w:val="24"/>
                <w:lang w:val="en-US" w:eastAsia="zh-CN"/>
              </w:rPr>
            </w:pPr>
            <w:r>
              <w:rPr>
                <w:rFonts w:hint="eastAsia" w:ascii="宋体" w:hAnsi="宋体" w:cs="宋体"/>
                <w:kern w:val="2"/>
                <w:sz w:val="21"/>
                <w:szCs w:val="21"/>
                <w:lang w:val="en-US" w:eastAsia="zh-CN" w:bidi="en-US"/>
              </w:rPr>
              <w:t>中山君禾、</w:t>
            </w:r>
            <w:r>
              <w:rPr>
                <w:rFonts w:hint="eastAsia" w:ascii="宋体" w:hAnsi="宋体" w:eastAsia="宋体" w:cs="宋体"/>
                <w:kern w:val="2"/>
                <w:sz w:val="21"/>
                <w:szCs w:val="21"/>
                <w:lang w:val="en-US" w:eastAsia="zh-CN" w:bidi="en-US"/>
              </w:rPr>
              <w:t>中山永齐</w:t>
            </w:r>
            <w:r>
              <w:rPr>
                <w:rFonts w:hint="eastAsia" w:ascii="宋体" w:hAnsi="宋体" w:cs="宋体"/>
                <w:kern w:val="2"/>
                <w:sz w:val="21"/>
                <w:szCs w:val="21"/>
                <w:lang w:val="en-US" w:eastAsia="zh-CN" w:bidi="en-US"/>
              </w:rPr>
              <w:t>、</w:t>
            </w:r>
            <w:r>
              <w:rPr>
                <w:rFonts w:hint="eastAsia" w:ascii="宋体" w:hAnsi="宋体" w:eastAsia="宋体" w:cs="宋体"/>
                <w:kern w:val="2"/>
                <w:sz w:val="21"/>
                <w:szCs w:val="21"/>
                <w:lang w:val="en-US" w:eastAsia="zh-CN" w:bidi="en-US"/>
              </w:rPr>
              <w:t>中山涂为</w:t>
            </w:r>
          </w:p>
        </w:tc>
      </w:tr>
      <w:tr w14:paraId="68E5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61A66ABA">
            <w:pPr>
              <w:pStyle w:val="3"/>
              <w:rPr>
                <w:rFonts w:asciiTheme="minorEastAsia" w:hAnsiTheme="minorEastAsia" w:eastAsiaTheme="minorEastAsia"/>
                <w:sz w:val="24"/>
                <w:szCs w:val="24"/>
                <w:lang w:eastAsia="zh-CN"/>
              </w:rPr>
            </w:pPr>
          </w:p>
        </w:tc>
        <w:tc>
          <w:tcPr>
            <w:tcW w:w="5386" w:type="dxa"/>
            <w:vAlign w:val="center"/>
          </w:tcPr>
          <w:p w14:paraId="485940CE">
            <w:pPr>
              <w:pStyle w:val="3"/>
              <w:spacing w:before="0" w:line="500" w:lineRule="exact"/>
              <w:rPr>
                <w:sz w:val="21"/>
                <w:szCs w:val="21"/>
                <w:lang w:eastAsia="zh-CN"/>
              </w:rPr>
            </w:pPr>
            <w:r>
              <w:rPr>
                <w:rFonts w:hint="eastAsia"/>
                <w:sz w:val="21"/>
                <w:szCs w:val="21"/>
                <w:lang w:eastAsia="zh-CN"/>
              </w:rPr>
              <w:t>2、正面手补位</w:t>
            </w:r>
            <w:r>
              <w:rPr>
                <w:rFonts w:hint="eastAsia"/>
                <w:sz w:val="21"/>
                <w:szCs w:val="21"/>
                <w:lang w:val="en-US" w:eastAsia="zh-CN"/>
              </w:rPr>
              <w:t>2</w:t>
            </w:r>
            <w:r>
              <w:rPr>
                <w:rFonts w:hint="eastAsia"/>
                <w:sz w:val="21"/>
                <w:szCs w:val="21"/>
                <w:lang w:eastAsia="zh-CN"/>
              </w:rPr>
              <w:t>个，独立粉筒，手喷枪，不得溢粉</w:t>
            </w:r>
          </w:p>
        </w:tc>
        <w:tc>
          <w:tcPr>
            <w:tcW w:w="2268" w:type="dxa"/>
            <w:vMerge w:val="continue"/>
          </w:tcPr>
          <w:p w14:paraId="2317F382">
            <w:pPr>
              <w:pStyle w:val="3"/>
              <w:rPr>
                <w:sz w:val="24"/>
                <w:szCs w:val="24"/>
                <w:lang w:eastAsia="zh-CN"/>
              </w:rPr>
            </w:pPr>
          </w:p>
        </w:tc>
      </w:tr>
      <w:tr w14:paraId="6432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4756FB40">
            <w:pPr>
              <w:pStyle w:val="3"/>
              <w:rPr>
                <w:rFonts w:asciiTheme="minorEastAsia" w:hAnsiTheme="minorEastAsia" w:eastAsiaTheme="minorEastAsia"/>
                <w:sz w:val="24"/>
                <w:szCs w:val="24"/>
                <w:lang w:eastAsia="zh-CN"/>
              </w:rPr>
            </w:pPr>
          </w:p>
        </w:tc>
        <w:tc>
          <w:tcPr>
            <w:tcW w:w="5386" w:type="dxa"/>
            <w:vAlign w:val="center"/>
          </w:tcPr>
          <w:p w14:paraId="6EF1A0FC">
            <w:pPr>
              <w:pStyle w:val="3"/>
              <w:spacing w:before="0" w:line="500" w:lineRule="exact"/>
              <w:rPr>
                <w:sz w:val="21"/>
                <w:szCs w:val="21"/>
                <w:lang w:eastAsia="zh-CN"/>
              </w:rPr>
            </w:pPr>
            <w:r>
              <w:rPr>
                <w:rFonts w:hint="eastAsia"/>
                <w:sz w:val="21"/>
                <w:szCs w:val="21"/>
                <w:lang w:eastAsia="zh-CN"/>
              </w:rPr>
              <w:t>3、竖排往复枪，两列，每边1</w:t>
            </w:r>
            <w:r>
              <w:rPr>
                <w:rFonts w:hint="eastAsia"/>
                <w:sz w:val="21"/>
                <w:szCs w:val="21"/>
                <w:lang w:val="en-US" w:eastAsia="zh-CN"/>
              </w:rPr>
              <w:t>0</w:t>
            </w:r>
            <w:r>
              <w:rPr>
                <w:rFonts w:hint="eastAsia"/>
                <w:sz w:val="21"/>
                <w:szCs w:val="21"/>
                <w:lang w:eastAsia="zh-CN"/>
              </w:rPr>
              <w:t>把，共2</w:t>
            </w:r>
            <w:r>
              <w:rPr>
                <w:rFonts w:hint="eastAsia"/>
                <w:sz w:val="21"/>
                <w:szCs w:val="21"/>
                <w:lang w:val="en-US" w:eastAsia="zh-CN"/>
              </w:rPr>
              <w:t>0</w:t>
            </w:r>
            <w:r>
              <w:rPr>
                <w:rFonts w:hint="eastAsia"/>
                <w:sz w:val="21"/>
                <w:szCs w:val="21"/>
                <w:lang w:eastAsia="zh-CN"/>
              </w:rPr>
              <w:t>把</w:t>
            </w:r>
          </w:p>
        </w:tc>
        <w:tc>
          <w:tcPr>
            <w:tcW w:w="2268" w:type="dxa"/>
            <w:vMerge w:val="continue"/>
          </w:tcPr>
          <w:p w14:paraId="46B9E27A">
            <w:pPr>
              <w:pStyle w:val="3"/>
              <w:rPr>
                <w:sz w:val="24"/>
                <w:szCs w:val="24"/>
                <w:lang w:eastAsia="zh-CN"/>
              </w:rPr>
            </w:pPr>
          </w:p>
        </w:tc>
      </w:tr>
      <w:tr w14:paraId="25AE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7485D639">
            <w:pPr>
              <w:pStyle w:val="3"/>
              <w:rPr>
                <w:rFonts w:asciiTheme="minorEastAsia" w:hAnsiTheme="minorEastAsia" w:eastAsiaTheme="minorEastAsia"/>
                <w:sz w:val="24"/>
                <w:szCs w:val="24"/>
                <w:lang w:eastAsia="zh-CN"/>
              </w:rPr>
            </w:pPr>
          </w:p>
        </w:tc>
        <w:tc>
          <w:tcPr>
            <w:tcW w:w="5386" w:type="dxa"/>
            <w:vAlign w:val="center"/>
          </w:tcPr>
          <w:p w14:paraId="4D782EAF">
            <w:pPr>
              <w:pStyle w:val="3"/>
              <w:spacing w:before="0" w:line="500" w:lineRule="exact"/>
              <w:rPr>
                <w:sz w:val="21"/>
                <w:szCs w:val="21"/>
                <w:lang w:eastAsia="zh-CN"/>
              </w:rPr>
            </w:pPr>
            <w:r>
              <w:rPr>
                <w:rFonts w:hint="eastAsia"/>
                <w:sz w:val="21"/>
                <w:szCs w:val="21"/>
                <w:lang w:eastAsia="zh-CN"/>
              </w:rPr>
              <w:t>4、供粉中心便捷加粉,不得溢粉</w:t>
            </w:r>
          </w:p>
        </w:tc>
        <w:tc>
          <w:tcPr>
            <w:tcW w:w="2268" w:type="dxa"/>
            <w:vMerge w:val="continue"/>
          </w:tcPr>
          <w:p w14:paraId="16A3D1A8">
            <w:pPr>
              <w:pStyle w:val="3"/>
              <w:rPr>
                <w:sz w:val="24"/>
                <w:szCs w:val="24"/>
                <w:lang w:eastAsia="zh-CN"/>
              </w:rPr>
            </w:pPr>
          </w:p>
        </w:tc>
      </w:tr>
      <w:tr w14:paraId="06E4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42787313">
            <w:pPr>
              <w:pStyle w:val="3"/>
              <w:rPr>
                <w:rFonts w:asciiTheme="minorEastAsia" w:hAnsiTheme="minorEastAsia" w:eastAsiaTheme="minorEastAsia"/>
                <w:sz w:val="24"/>
                <w:szCs w:val="24"/>
                <w:lang w:eastAsia="zh-CN"/>
              </w:rPr>
            </w:pPr>
          </w:p>
        </w:tc>
        <w:tc>
          <w:tcPr>
            <w:tcW w:w="5386" w:type="dxa"/>
            <w:vAlign w:val="center"/>
          </w:tcPr>
          <w:p w14:paraId="21E370FA">
            <w:pPr>
              <w:pStyle w:val="3"/>
              <w:spacing w:before="0" w:line="500" w:lineRule="exact"/>
              <w:rPr>
                <w:sz w:val="21"/>
                <w:szCs w:val="21"/>
                <w:lang w:eastAsia="zh-CN"/>
              </w:rPr>
            </w:pPr>
            <w:r>
              <w:rPr>
                <w:rFonts w:hint="eastAsia"/>
                <w:sz w:val="21"/>
                <w:szCs w:val="21"/>
                <w:lang w:eastAsia="zh-CN"/>
              </w:rPr>
              <w:t>5、供气系统小于4PA低压报警系统，停线停喷，外接扩音蜂鸣器</w:t>
            </w:r>
          </w:p>
        </w:tc>
        <w:tc>
          <w:tcPr>
            <w:tcW w:w="2268" w:type="dxa"/>
            <w:vMerge w:val="continue"/>
          </w:tcPr>
          <w:p w14:paraId="2D71EED4">
            <w:pPr>
              <w:pStyle w:val="3"/>
              <w:rPr>
                <w:sz w:val="24"/>
                <w:szCs w:val="24"/>
                <w:lang w:eastAsia="zh-CN"/>
              </w:rPr>
            </w:pPr>
          </w:p>
        </w:tc>
      </w:tr>
      <w:tr w14:paraId="15C2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3E3650D7">
            <w:pPr>
              <w:pStyle w:val="3"/>
              <w:rPr>
                <w:rFonts w:asciiTheme="minorEastAsia" w:hAnsiTheme="minorEastAsia" w:eastAsiaTheme="minorEastAsia"/>
                <w:sz w:val="24"/>
                <w:szCs w:val="24"/>
                <w:lang w:eastAsia="zh-CN"/>
              </w:rPr>
            </w:pPr>
          </w:p>
        </w:tc>
        <w:tc>
          <w:tcPr>
            <w:tcW w:w="5386" w:type="dxa"/>
            <w:vAlign w:val="center"/>
          </w:tcPr>
          <w:p w14:paraId="44C824B8">
            <w:pPr>
              <w:pStyle w:val="3"/>
              <w:spacing w:before="0" w:line="500" w:lineRule="exact"/>
              <w:rPr>
                <w:sz w:val="21"/>
                <w:szCs w:val="21"/>
                <w:lang w:eastAsia="zh-CN"/>
              </w:rPr>
            </w:pPr>
            <w:r>
              <w:rPr>
                <w:rFonts w:hint="eastAsia"/>
                <w:sz w:val="21"/>
                <w:szCs w:val="21"/>
                <w:lang w:eastAsia="zh-CN"/>
              </w:rPr>
              <w:t>6、配备高压稳压器</w:t>
            </w:r>
          </w:p>
        </w:tc>
        <w:tc>
          <w:tcPr>
            <w:tcW w:w="2268" w:type="dxa"/>
            <w:vMerge w:val="continue"/>
          </w:tcPr>
          <w:p w14:paraId="4D356DCD">
            <w:pPr>
              <w:pStyle w:val="3"/>
              <w:rPr>
                <w:sz w:val="24"/>
                <w:szCs w:val="24"/>
              </w:rPr>
            </w:pPr>
          </w:p>
        </w:tc>
      </w:tr>
      <w:tr w14:paraId="55C3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restart"/>
            <w:vAlign w:val="center"/>
          </w:tcPr>
          <w:p w14:paraId="4B4C36DD">
            <w:pPr>
              <w:pStyle w:val="3"/>
              <w:jc w:val="center"/>
              <w:rPr>
                <w:rFonts w:asciiTheme="minorEastAsia" w:hAnsiTheme="minorEastAsia" w:eastAsiaTheme="minorEastAsia"/>
                <w:sz w:val="24"/>
                <w:szCs w:val="24"/>
              </w:rPr>
            </w:pPr>
            <w:r>
              <w:rPr>
                <w:rFonts w:hint="eastAsia" w:asciiTheme="minorEastAsia" w:hAnsiTheme="minorEastAsia" w:eastAsiaTheme="minorEastAsia"/>
                <w:b/>
                <w:bCs/>
                <w:sz w:val="21"/>
                <w:szCs w:val="21"/>
              </w:rPr>
              <w:t>九、静电喷枪</w:t>
            </w:r>
          </w:p>
        </w:tc>
        <w:tc>
          <w:tcPr>
            <w:tcW w:w="5386" w:type="dxa"/>
            <w:vAlign w:val="center"/>
          </w:tcPr>
          <w:p w14:paraId="45E1996C">
            <w:pPr>
              <w:pStyle w:val="3"/>
              <w:spacing w:before="0" w:line="500" w:lineRule="exact"/>
              <w:rPr>
                <w:sz w:val="21"/>
                <w:szCs w:val="21"/>
                <w:lang w:eastAsia="zh-CN"/>
              </w:rPr>
            </w:pPr>
            <w:r>
              <w:rPr>
                <w:rFonts w:hint="eastAsia"/>
                <w:sz w:val="21"/>
                <w:szCs w:val="21"/>
                <w:lang w:eastAsia="zh-CN"/>
              </w:rPr>
              <w:t>1、手动喷枪</w:t>
            </w:r>
            <w:r>
              <w:rPr>
                <w:rFonts w:hint="eastAsia"/>
                <w:sz w:val="21"/>
                <w:szCs w:val="21"/>
                <w:lang w:val="en-US" w:eastAsia="zh-CN"/>
              </w:rPr>
              <w:t>8</w:t>
            </w:r>
            <w:r>
              <w:rPr>
                <w:rFonts w:hint="eastAsia"/>
                <w:sz w:val="21"/>
                <w:szCs w:val="21"/>
                <w:lang w:eastAsia="zh-CN"/>
              </w:rPr>
              <w:t>支（国产）</w:t>
            </w:r>
          </w:p>
        </w:tc>
        <w:tc>
          <w:tcPr>
            <w:tcW w:w="2268" w:type="dxa"/>
            <w:vMerge w:val="restart"/>
            <w:vAlign w:val="center"/>
          </w:tcPr>
          <w:p w14:paraId="7AC7959A">
            <w:pPr>
              <w:keepNext w:val="0"/>
              <w:keepLines w:val="0"/>
              <w:widowControl/>
              <w:suppressLineNumbers w:val="0"/>
              <w:jc w:val="center"/>
              <w:rPr>
                <w:sz w:val="24"/>
                <w:szCs w:val="24"/>
                <w:lang w:eastAsia="zh-CN"/>
              </w:rPr>
            </w:pPr>
            <w:r>
              <w:rPr>
                <w:rFonts w:hint="eastAsia" w:ascii="宋体" w:hAnsi="宋体" w:eastAsia="宋体" w:cs="宋体"/>
                <w:kern w:val="2"/>
                <w:sz w:val="21"/>
                <w:szCs w:val="21"/>
                <w:lang w:val="en-US" w:eastAsia="zh-CN" w:bidi="en-US"/>
              </w:rPr>
              <w:t>国产：佛山汉哲、德贝尔、佛山丰展，</w:t>
            </w:r>
            <w:r>
              <w:rPr>
                <w:rFonts w:hint="eastAsia" w:ascii="宋体" w:hAnsi="宋体" w:cs="宋体"/>
                <w:kern w:val="2"/>
                <w:sz w:val="21"/>
                <w:szCs w:val="21"/>
                <w:lang w:val="en-US" w:eastAsia="zh-CN" w:bidi="en-US"/>
              </w:rPr>
              <w:t>佛山吉涂</w:t>
            </w:r>
          </w:p>
        </w:tc>
      </w:tr>
      <w:tr w14:paraId="1E55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4" w:type="dxa"/>
            <w:vMerge w:val="continue"/>
            <w:vAlign w:val="center"/>
          </w:tcPr>
          <w:p w14:paraId="09AAE897">
            <w:pPr>
              <w:pStyle w:val="3"/>
              <w:rPr>
                <w:sz w:val="24"/>
                <w:szCs w:val="24"/>
                <w:lang w:eastAsia="zh-CN"/>
              </w:rPr>
            </w:pPr>
          </w:p>
        </w:tc>
        <w:tc>
          <w:tcPr>
            <w:tcW w:w="5386" w:type="dxa"/>
            <w:vAlign w:val="center"/>
          </w:tcPr>
          <w:p w14:paraId="7CA99AD4">
            <w:pPr>
              <w:pStyle w:val="3"/>
              <w:spacing w:before="0" w:line="500" w:lineRule="exact"/>
              <w:rPr>
                <w:sz w:val="21"/>
                <w:szCs w:val="21"/>
                <w:lang w:eastAsia="zh-CN"/>
              </w:rPr>
            </w:pPr>
            <w:r>
              <w:rPr>
                <w:rFonts w:hint="eastAsia"/>
                <w:sz w:val="21"/>
                <w:szCs w:val="21"/>
                <w:lang w:eastAsia="zh-CN"/>
              </w:rPr>
              <w:t>2、自动喷枪</w:t>
            </w:r>
            <w:r>
              <w:rPr>
                <w:rFonts w:hint="eastAsia"/>
                <w:sz w:val="21"/>
                <w:szCs w:val="21"/>
                <w:lang w:val="en-US" w:eastAsia="zh-CN"/>
              </w:rPr>
              <w:t>40</w:t>
            </w:r>
            <w:r>
              <w:rPr>
                <w:rFonts w:hint="eastAsia"/>
                <w:sz w:val="21"/>
                <w:szCs w:val="21"/>
                <w:lang w:eastAsia="zh-CN"/>
              </w:rPr>
              <w:t>支（国产）</w:t>
            </w:r>
          </w:p>
        </w:tc>
        <w:tc>
          <w:tcPr>
            <w:tcW w:w="2268" w:type="dxa"/>
            <w:vMerge w:val="continue"/>
          </w:tcPr>
          <w:p w14:paraId="11A5BD24">
            <w:pPr>
              <w:pStyle w:val="3"/>
              <w:rPr>
                <w:sz w:val="24"/>
                <w:szCs w:val="24"/>
                <w:lang w:eastAsia="zh-CN"/>
              </w:rPr>
            </w:pPr>
          </w:p>
        </w:tc>
      </w:tr>
    </w:tbl>
    <w:p w14:paraId="2485D961">
      <w:pPr>
        <w:pStyle w:val="30"/>
      </w:pPr>
    </w:p>
    <w:p w14:paraId="0BE0557C">
      <w:pPr>
        <w:spacing w:line="360" w:lineRule="auto"/>
        <w:rPr>
          <w:rFonts w:asciiTheme="minorEastAsia" w:hAnsiTheme="minorEastAsia" w:eastAsiaTheme="minorEastAsia" w:cstheme="minorEastAsia"/>
          <w:szCs w:val="21"/>
        </w:rPr>
      </w:pPr>
    </w:p>
    <w:p w14:paraId="45679015">
      <w:pPr>
        <w:pStyle w:val="2"/>
        <w:rPr>
          <w:rFonts w:asciiTheme="minorEastAsia" w:hAnsiTheme="minorEastAsia" w:eastAsiaTheme="minorEastAsia" w:cstheme="minorEastAsia"/>
          <w:szCs w:val="21"/>
        </w:rPr>
      </w:pPr>
    </w:p>
    <w:p w14:paraId="5B77D3CC">
      <w:pPr>
        <w:pStyle w:val="2"/>
        <w:rPr>
          <w:rFonts w:asciiTheme="minorEastAsia" w:hAnsiTheme="minorEastAsia" w:eastAsiaTheme="minorEastAsia" w:cstheme="minorEastAsia"/>
          <w:szCs w:val="21"/>
        </w:rPr>
      </w:pPr>
    </w:p>
    <w:p w14:paraId="3D839EAF">
      <w:pPr>
        <w:pStyle w:val="2"/>
        <w:rPr>
          <w:rFonts w:asciiTheme="minorEastAsia" w:hAnsiTheme="minorEastAsia" w:eastAsiaTheme="minorEastAsia" w:cstheme="minorEastAsia"/>
          <w:szCs w:val="21"/>
        </w:rPr>
      </w:pPr>
    </w:p>
    <w:p w14:paraId="383C1E36">
      <w:pPr>
        <w:numPr>
          <w:ilvl w:val="0"/>
          <w:numId w:val="8"/>
        </w:numPr>
        <w:spacing w:line="360" w:lineRule="auto"/>
        <w:jc w:val="center"/>
        <w:rPr>
          <w:rFonts w:ascii="黑体" w:hAnsi="黑体" w:eastAsia="黑体" w:cs="黑体"/>
          <w:sz w:val="24"/>
        </w:rPr>
      </w:pPr>
      <w:r>
        <w:rPr>
          <w:rFonts w:hint="eastAsia" w:ascii="黑体" w:hAnsi="黑体" w:eastAsia="黑体" w:cs="黑体"/>
          <w:sz w:val="24"/>
        </w:rPr>
        <w:t>合同主要条款</w:t>
      </w:r>
    </w:p>
    <w:p w14:paraId="755FBEE0">
      <w:pPr>
        <w:spacing w:line="360" w:lineRule="auto"/>
        <w:rPr>
          <w:rFonts w:ascii="黑体" w:hAnsi="黑体" w:eastAsia="黑体" w:cs="黑体"/>
          <w:sz w:val="24"/>
        </w:rPr>
      </w:pPr>
    </w:p>
    <w:p w14:paraId="752A9F97">
      <w:pPr>
        <w:pStyle w:val="33"/>
        <w:widowControl/>
        <w:numPr>
          <w:ilvl w:val="0"/>
          <w:numId w:val="9"/>
        </w:numPr>
        <w:kinsoku w:val="0"/>
        <w:autoSpaceDE w:val="0"/>
        <w:autoSpaceDN w:val="0"/>
        <w:snapToGrid w:val="0"/>
        <w:spacing w:before="1" w:line="360" w:lineRule="auto"/>
        <w:ind w:firstLine="0" w:firstLineChars="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价格填写要求</w:t>
      </w:r>
    </w:p>
    <w:p w14:paraId="7F396CBF">
      <w:pPr>
        <w:pStyle w:val="33"/>
        <w:widowControl/>
        <w:kinsoku w:val="0"/>
        <w:autoSpaceDE w:val="0"/>
        <w:autoSpaceDN w:val="0"/>
        <w:snapToGrid w:val="0"/>
        <w:spacing w:before="1"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投标人必须按照我司提供的招标标书格式进行报价，所列清单项无论价格是否填写，默认总价均已包含，不填价格项目默认按照赠送进行处理，合同确定后不得以报价未报另外增加价格。</w:t>
      </w:r>
    </w:p>
    <w:p w14:paraId="590DD631">
      <w:pPr>
        <w:numPr>
          <w:ilvl w:val="0"/>
          <w:numId w:val="9"/>
        </w:num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配置清单</w:t>
      </w:r>
    </w:p>
    <w:p w14:paraId="02DF0AE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标书中必须包含设备的详细清单配置，元器件品牌在我司所列品牌范围内，或所用品牌为同等品牌产品。</w:t>
      </w:r>
    </w:p>
    <w:p w14:paraId="41B2892D">
      <w:pPr>
        <w:numPr>
          <w:ilvl w:val="0"/>
          <w:numId w:val="9"/>
        </w:num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付款条件</w:t>
      </w:r>
    </w:p>
    <w:p w14:paraId="794558D7">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付款按照3 3 3 1比例进行付款，其中合同签订后支付30%预付款，货到后初步验收合格支付30%初步验收款，设备到厂使用三个月正式验收合格后支付30%正式验收款，尾款10%作为质保金正式验收合格日起一年后付清。</w:t>
      </w:r>
    </w:p>
    <w:p w14:paraId="746E2A9C">
      <w:pPr>
        <w:numPr>
          <w:ilvl w:val="0"/>
          <w:numId w:val="9"/>
        </w:num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付款方式</w:t>
      </w:r>
    </w:p>
    <w:p w14:paraId="4165A246">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供应链票据或者鑫链。</w:t>
      </w:r>
    </w:p>
    <w:p w14:paraId="730F3E27">
      <w:pPr>
        <w:numPr>
          <w:ilvl w:val="0"/>
          <w:numId w:val="9"/>
        </w:num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交货期</w:t>
      </w:r>
    </w:p>
    <w:p w14:paraId="2AD05F7F">
      <w:pPr>
        <w:spacing w:line="360" w:lineRule="auto"/>
        <w:ind w:firstLine="420" w:firstLineChars="200"/>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szCs w:val="21"/>
        </w:rPr>
        <w:t>合同签订后</w:t>
      </w:r>
      <w:r>
        <w:rPr>
          <w:rFonts w:hint="eastAsia" w:asciiTheme="minorEastAsia" w:hAnsiTheme="minorEastAsia" w:eastAsiaTheme="minorEastAsia" w:cstheme="minorEastAsia"/>
          <w:b/>
          <w:bCs/>
          <w:szCs w:val="21"/>
          <w:highlight w:val="yellow"/>
        </w:rPr>
        <w:t>2026年</w:t>
      </w:r>
      <w:r>
        <w:rPr>
          <w:rFonts w:hint="eastAsia" w:asciiTheme="minorEastAsia" w:hAnsiTheme="minorEastAsia" w:eastAsiaTheme="minorEastAsia" w:cstheme="minorEastAsia"/>
          <w:b/>
          <w:bCs/>
          <w:szCs w:val="21"/>
          <w:highlight w:val="yellow"/>
          <w:lang w:val="en-US" w:eastAsia="zh-CN"/>
        </w:rPr>
        <w:t>12</w:t>
      </w:r>
      <w:r>
        <w:rPr>
          <w:rFonts w:hint="eastAsia" w:asciiTheme="minorEastAsia" w:hAnsiTheme="minorEastAsia" w:eastAsiaTheme="minorEastAsia" w:cstheme="minorEastAsia"/>
          <w:b/>
          <w:bCs/>
          <w:szCs w:val="21"/>
          <w:highlight w:val="yellow"/>
        </w:rPr>
        <w:t>月</w:t>
      </w:r>
      <w:r>
        <w:rPr>
          <w:rFonts w:hint="eastAsia" w:asciiTheme="minorEastAsia" w:hAnsiTheme="minorEastAsia" w:eastAsiaTheme="minorEastAsia" w:cstheme="minorEastAsia"/>
          <w:b/>
          <w:bCs/>
          <w:szCs w:val="21"/>
          <w:highlight w:val="yellow"/>
          <w:lang w:val="en-US" w:eastAsia="zh-CN"/>
        </w:rPr>
        <w:t>2</w:t>
      </w:r>
      <w:r>
        <w:rPr>
          <w:rFonts w:hint="eastAsia" w:asciiTheme="minorEastAsia" w:hAnsiTheme="minorEastAsia" w:eastAsiaTheme="minorEastAsia" w:cstheme="minorEastAsia"/>
          <w:b/>
          <w:bCs/>
          <w:szCs w:val="21"/>
          <w:highlight w:val="yellow"/>
        </w:rPr>
        <w:t>0日前安装、验收、正常交付使用</w:t>
      </w:r>
      <w:r>
        <w:rPr>
          <w:rFonts w:hint="eastAsia" w:asciiTheme="minorEastAsia" w:hAnsiTheme="minorEastAsia" w:eastAsiaTheme="minorEastAsia" w:cstheme="minorEastAsia"/>
          <w:b/>
          <w:bCs/>
          <w:szCs w:val="21"/>
          <w:highlight w:val="yellow"/>
          <w:lang w:eastAsia="zh-CN"/>
        </w:rPr>
        <w:t>；</w:t>
      </w:r>
    </w:p>
    <w:p w14:paraId="16EC5265">
      <w:pPr>
        <w:numPr>
          <w:ilvl w:val="0"/>
          <w:numId w:val="9"/>
        </w:num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保修期</w:t>
      </w:r>
    </w:p>
    <w:p w14:paraId="0321BC92">
      <w:pPr>
        <w:spacing w:line="360" w:lineRule="auto"/>
        <w:ind w:firstLine="38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pacing w:val="-10"/>
          <w:szCs w:val="21"/>
        </w:rPr>
        <w:t>设备保修：自设备交付高科使用之日起算，按照本协议正式验收合格之日起算</w:t>
      </w:r>
      <w:r>
        <w:rPr>
          <w:rFonts w:hint="eastAsia" w:asciiTheme="minorEastAsia" w:hAnsiTheme="minorEastAsia" w:eastAsiaTheme="minorEastAsia" w:cstheme="minorEastAsia"/>
          <w:spacing w:val="-10"/>
          <w:szCs w:val="21"/>
          <w:highlight w:val="yellow"/>
        </w:rPr>
        <w:t>二</w:t>
      </w:r>
      <w:r>
        <w:rPr>
          <w:rFonts w:hint="eastAsia" w:asciiTheme="minorEastAsia" w:hAnsiTheme="minorEastAsia" w:eastAsiaTheme="minorEastAsia" w:cstheme="minorEastAsia"/>
          <w:spacing w:val="-10"/>
          <w:szCs w:val="21"/>
        </w:rPr>
        <w:t>年</w:t>
      </w:r>
      <w:r>
        <w:rPr>
          <w:rFonts w:hint="eastAsia" w:asciiTheme="minorEastAsia" w:hAnsiTheme="minorEastAsia" w:eastAsiaTheme="minorEastAsia" w:cstheme="minorEastAsia"/>
          <w:szCs w:val="21"/>
        </w:rPr>
        <w:t>。售后服务：保修期内由于设备质量原因造成损坏的零部件由卖方无条件给予修复或更换。在保修期内，设备如发生故障，卖方在接到通知起当日到用户工厂进行服务；保修期外，设备如发生故障，卖方在接到通知起当日到用户工厂进行服务，除更换零部件外，卖方不收取任何人工服务费。</w:t>
      </w:r>
    </w:p>
    <w:p w14:paraId="404BD247">
      <w:pPr>
        <w:pStyle w:val="2"/>
        <w:ind w:firstLine="210"/>
        <w:rPr>
          <w:lang w:eastAsia="zh-CN"/>
        </w:rPr>
      </w:pPr>
    </w:p>
    <w:p w14:paraId="37CED233">
      <w:pPr>
        <w:spacing w:line="360" w:lineRule="auto"/>
        <w:rPr>
          <w:rFonts w:asciiTheme="minorEastAsia" w:hAnsiTheme="minorEastAsia" w:eastAsiaTheme="minorEastAsia" w:cstheme="minorEastAsia"/>
          <w:szCs w:val="21"/>
        </w:rPr>
      </w:pPr>
    </w:p>
    <w:p w14:paraId="5CBFE9DB">
      <w:pPr>
        <w:pStyle w:val="2"/>
        <w:ind w:firstLine="210"/>
        <w:rPr>
          <w:lang w:eastAsia="zh-CN" w:bidi="ar-SA"/>
        </w:rPr>
      </w:pPr>
    </w:p>
    <w:p w14:paraId="1E16B49B">
      <w:pPr>
        <w:pStyle w:val="2"/>
        <w:ind w:firstLine="210"/>
        <w:rPr>
          <w:lang w:eastAsia="zh-CN" w:bidi="ar-SA"/>
        </w:rPr>
      </w:pPr>
    </w:p>
    <w:p w14:paraId="7C9E8C5C">
      <w:pPr>
        <w:pStyle w:val="2"/>
        <w:ind w:firstLine="210"/>
        <w:rPr>
          <w:lang w:eastAsia="zh-CN" w:bidi="ar-SA"/>
        </w:rPr>
      </w:pPr>
    </w:p>
    <w:p w14:paraId="4537D7C6">
      <w:pPr>
        <w:pStyle w:val="2"/>
        <w:ind w:firstLine="210"/>
        <w:rPr>
          <w:lang w:eastAsia="zh-CN" w:bidi="ar-SA"/>
        </w:rPr>
      </w:pPr>
    </w:p>
    <w:p w14:paraId="4221B771">
      <w:pPr>
        <w:pStyle w:val="2"/>
        <w:ind w:firstLine="210"/>
        <w:rPr>
          <w:lang w:eastAsia="zh-CN" w:bidi="ar-SA"/>
        </w:rPr>
      </w:pPr>
    </w:p>
    <w:p w14:paraId="38C044F6">
      <w:pPr>
        <w:pStyle w:val="2"/>
        <w:ind w:firstLine="210"/>
        <w:rPr>
          <w:lang w:eastAsia="zh-CN" w:bidi="ar-SA"/>
        </w:rPr>
      </w:pPr>
    </w:p>
    <w:p w14:paraId="1462C84B">
      <w:pPr>
        <w:spacing w:line="360" w:lineRule="auto"/>
        <w:jc w:val="center"/>
        <w:rPr>
          <w:rFonts w:ascii="黑体" w:hAnsi="黑体" w:eastAsia="黑体" w:cs="黑体"/>
          <w:sz w:val="24"/>
        </w:rPr>
      </w:pPr>
      <w:r>
        <w:rPr>
          <w:rFonts w:hint="eastAsia" w:ascii="黑体" w:hAnsi="黑体" w:eastAsia="黑体" w:cs="黑体"/>
          <w:sz w:val="24"/>
        </w:rPr>
        <w:t>第五章   附件（竞谈文件格式）</w:t>
      </w:r>
    </w:p>
    <w:p w14:paraId="2CAAAFF3">
      <w:pPr>
        <w:spacing w:line="360" w:lineRule="auto"/>
        <w:jc w:val="center"/>
        <w:rPr>
          <w:rFonts w:asciiTheme="minorEastAsia" w:hAnsiTheme="minorEastAsia" w:eastAsiaTheme="minorEastAsia" w:cstheme="minorEastAsia"/>
          <w:szCs w:val="21"/>
        </w:rPr>
      </w:pPr>
    </w:p>
    <w:p w14:paraId="2B2CDACA">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附件：</w:t>
      </w:r>
    </w:p>
    <w:p w14:paraId="72D2453B">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1.竞谈函</w:t>
      </w:r>
    </w:p>
    <w:p w14:paraId="07B6DE13">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2.项目报价单</w:t>
      </w:r>
    </w:p>
    <w:p w14:paraId="0D723946">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3.项目报价明细</w:t>
      </w:r>
    </w:p>
    <w:p w14:paraId="720BF902">
      <w:pPr>
        <w:pStyle w:val="2"/>
        <w:ind w:firstLine="210"/>
        <w:rPr>
          <w:rFonts w:asciiTheme="minorEastAsia" w:hAnsiTheme="minorEastAsia" w:eastAsiaTheme="minorEastAsia" w:cstheme="minorEastAsia"/>
          <w:color w:val="000000"/>
          <w:szCs w:val="21"/>
          <w:lang w:eastAsia="zh-CN"/>
        </w:rPr>
      </w:pPr>
    </w:p>
    <w:p w14:paraId="505CC5F9">
      <w:pPr>
        <w:pStyle w:val="2"/>
        <w:ind w:firstLine="210"/>
        <w:rPr>
          <w:rFonts w:asciiTheme="minorEastAsia" w:hAnsiTheme="minorEastAsia" w:eastAsiaTheme="minorEastAsia" w:cstheme="minorEastAsia"/>
          <w:color w:val="000000"/>
          <w:szCs w:val="21"/>
          <w:lang w:eastAsia="zh-CN"/>
        </w:rPr>
      </w:pPr>
    </w:p>
    <w:p w14:paraId="1223D23A">
      <w:pPr>
        <w:pStyle w:val="2"/>
        <w:ind w:firstLine="210"/>
        <w:rPr>
          <w:rFonts w:asciiTheme="minorEastAsia" w:hAnsiTheme="minorEastAsia" w:eastAsiaTheme="minorEastAsia" w:cstheme="minorEastAsia"/>
          <w:color w:val="000000"/>
          <w:szCs w:val="21"/>
          <w:lang w:eastAsia="zh-CN"/>
        </w:rPr>
      </w:pPr>
    </w:p>
    <w:p w14:paraId="0344BCB6">
      <w:pPr>
        <w:pStyle w:val="2"/>
        <w:ind w:firstLine="210"/>
        <w:rPr>
          <w:rFonts w:asciiTheme="minorEastAsia" w:hAnsiTheme="minorEastAsia" w:eastAsiaTheme="minorEastAsia" w:cstheme="minorEastAsia"/>
          <w:color w:val="000000"/>
          <w:szCs w:val="21"/>
          <w:lang w:eastAsia="zh-CN"/>
        </w:rPr>
      </w:pPr>
    </w:p>
    <w:p w14:paraId="7F084A16">
      <w:pPr>
        <w:pStyle w:val="2"/>
        <w:ind w:firstLine="210"/>
        <w:rPr>
          <w:rFonts w:asciiTheme="minorEastAsia" w:hAnsiTheme="minorEastAsia" w:eastAsiaTheme="minorEastAsia" w:cstheme="minorEastAsia"/>
          <w:color w:val="000000"/>
          <w:szCs w:val="21"/>
          <w:lang w:eastAsia="zh-CN"/>
        </w:rPr>
      </w:pPr>
    </w:p>
    <w:p w14:paraId="7C0F2221">
      <w:pPr>
        <w:pStyle w:val="2"/>
        <w:ind w:firstLine="210"/>
        <w:rPr>
          <w:rFonts w:asciiTheme="minorEastAsia" w:hAnsiTheme="minorEastAsia" w:eastAsiaTheme="minorEastAsia" w:cstheme="minorEastAsia"/>
          <w:color w:val="000000"/>
          <w:szCs w:val="21"/>
          <w:lang w:eastAsia="zh-CN"/>
        </w:rPr>
      </w:pPr>
    </w:p>
    <w:p w14:paraId="6B9D51BC">
      <w:pPr>
        <w:pStyle w:val="2"/>
        <w:ind w:firstLine="210"/>
        <w:rPr>
          <w:rFonts w:asciiTheme="minorEastAsia" w:hAnsiTheme="minorEastAsia" w:eastAsiaTheme="minorEastAsia" w:cstheme="minorEastAsia"/>
          <w:color w:val="000000"/>
          <w:szCs w:val="21"/>
          <w:lang w:eastAsia="zh-CN"/>
        </w:rPr>
      </w:pPr>
    </w:p>
    <w:p w14:paraId="0D557BFB">
      <w:pPr>
        <w:pStyle w:val="2"/>
        <w:ind w:firstLine="210"/>
        <w:rPr>
          <w:rFonts w:asciiTheme="minorEastAsia" w:hAnsiTheme="minorEastAsia" w:eastAsiaTheme="minorEastAsia" w:cstheme="minorEastAsia"/>
          <w:color w:val="000000"/>
          <w:szCs w:val="21"/>
          <w:lang w:eastAsia="zh-CN"/>
        </w:rPr>
      </w:pPr>
    </w:p>
    <w:p w14:paraId="23820834">
      <w:pPr>
        <w:pStyle w:val="2"/>
        <w:ind w:firstLine="210"/>
        <w:rPr>
          <w:rFonts w:asciiTheme="minorEastAsia" w:hAnsiTheme="minorEastAsia" w:eastAsiaTheme="minorEastAsia" w:cstheme="minorEastAsia"/>
          <w:color w:val="000000"/>
          <w:szCs w:val="21"/>
          <w:lang w:eastAsia="zh-CN"/>
        </w:rPr>
      </w:pPr>
    </w:p>
    <w:p w14:paraId="4E817953">
      <w:pPr>
        <w:pStyle w:val="2"/>
        <w:ind w:firstLine="210"/>
        <w:rPr>
          <w:rFonts w:asciiTheme="minorEastAsia" w:hAnsiTheme="minorEastAsia" w:eastAsiaTheme="minorEastAsia" w:cstheme="minorEastAsia"/>
          <w:color w:val="000000"/>
          <w:szCs w:val="21"/>
          <w:lang w:eastAsia="zh-CN"/>
        </w:rPr>
      </w:pPr>
    </w:p>
    <w:p w14:paraId="5818351A">
      <w:pPr>
        <w:pStyle w:val="2"/>
        <w:ind w:firstLine="210"/>
        <w:rPr>
          <w:rFonts w:asciiTheme="minorEastAsia" w:hAnsiTheme="minorEastAsia" w:eastAsiaTheme="minorEastAsia" w:cstheme="minorEastAsia"/>
          <w:color w:val="000000"/>
          <w:szCs w:val="21"/>
          <w:lang w:eastAsia="zh-CN"/>
        </w:rPr>
      </w:pPr>
    </w:p>
    <w:p w14:paraId="33B9F904">
      <w:pPr>
        <w:pStyle w:val="2"/>
        <w:ind w:firstLine="210"/>
        <w:rPr>
          <w:rFonts w:asciiTheme="minorEastAsia" w:hAnsiTheme="minorEastAsia" w:eastAsiaTheme="minorEastAsia" w:cstheme="minorEastAsia"/>
          <w:color w:val="000000"/>
          <w:szCs w:val="21"/>
          <w:lang w:eastAsia="zh-CN"/>
        </w:rPr>
      </w:pPr>
    </w:p>
    <w:p w14:paraId="0092EEBD">
      <w:pPr>
        <w:pStyle w:val="2"/>
        <w:ind w:firstLine="210"/>
        <w:rPr>
          <w:rFonts w:asciiTheme="minorEastAsia" w:hAnsiTheme="minorEastAsia" w:eastAsiaTheme="minorEastAsia" w:cstheme="minorEastAsia"/>
          <w:color w:val="000000"/>
          <w:szCs w:val="21"/>
          <w:lang w:eastAsia="zh-CN"/>
        </w:rPr>
      </w:pPr>
    </w:p>
    <w:p w14:paraId="1FDD8BCC">
      <w:pPr>
        <w:pStyle w:val="2"/>
        <w:ind w:firstLine="210"/>
        <w:rPr>
          <w:rFonts w:asciiTheme="minorEastAsia" w:hAnsiTheme="minorEastAsia" w:eastAsiaTheme="minorEastAsia" w:cstheme="minorEastAsia"/>
          <w:color w:val="000000"/>
          <w:szCs w:val="21"/>
          <w:lang w:eastAsia="zh-CN"/>
        </w:rPr>
      </w:pPr>
    </w:p>
    <w:p w14:paraId="1148E15D">
      <w:pPr>
        <w:pStyle w:val="2"/>
        <w:ind w:firstLine="210"/>
        <w:rPr>
          <w:rFonts w:asciiTheme="minorEastAsia" w:hAnsiTheme="minorEastAsia" w:eastAsiaTheme="minorEastAsia" w:cstheme="minorEastAsia"/>
          <w:color w:val="000000"/>
          <w:szCs w:val="21"/>
          <w:lang w:eastAsia="zh-CN"/>
        </w:rPr>
      </w:pPr>
    </w:p>
    <w:p w14:paraId="33FA5A01">
      <w:pPr>
        <w:pStyle w:val="2"/>
        <w:ind w:firstLine="210"/>
        <w:rPr>
          <w:rFonts w:asciiTheme="minorEastAsia" w:hAnsiTheme="minorEastAsia" w:eastAsiaTheme="minorEastAsia" w:cstheme="minorEastAsia"/>
          <w:color w:val="000000"/>
          <w:szCs w:val="21"/>
          <w:lang w:eastAsia="zh-CN"/>
        </w:rPr>
      </w:pPr>
    </w:p>
    <w:p w14:paraId="265BB6D0">
      <w:pPr>
        <w:pStyle w:val="2"/>
        <w:ind w:firstLine="210"/>
        <w:rPr>
          <w:rFonts w:asciiTheme="minorEastAsia" w:hAnsiTheme="minorEastAsia" w:eastAsiaTheme="minorEastAsia" w:cstheme="minorEastAsia"/>
          <w:color w:val="000000"/>
          <w:szCs w:val="21"/>
          <w:lang w:eastAsia="zh-CN"/>
        </w:rPr>
      </w:pPr>
    </w:p>
    <w:p w14:paraId="27810E9C">
      <w:pPr>
        <w:pStyle w:val="2"/>
        <w:ind w:firstLine="210"/>
        <w:rPr>
          <w:rFonts w:asciiTheme="minorEastAsia" w:hAnsiTheme="minorEastAsia" w:eastAsiaTheme="minorEastAsia" w:cstheme="minorEastAsia"/>
          <w:color w:val="000000"/>
          <w:szCs w:val="21"/>
          <w:lang w:eastAsia="zh-CN"/>
        </w:rPr>
      </w:pPr>
    </w:p>
    <w:p w14:paraId="1D1A4BFB">
      <w:pPr>
        <w:pStyle w:val="2"/>
        <w:ind w:firstLine="210"/>
        <w:rPr>
          <w:rFonts w:asciiTheme="minorEastAsia" w:hAnsiTheme="minorEastAsia" w:eastAsiaTheme="minorEastAsia" w:cstheme="minorEastAsia"/>
          <w:color w:val="000000"/>
          <w:szCs w:val="21"/>
          <w:lang w:eastAsia="zh-CN"/>
        </w:rPr>
      </w:pPr>
    </w:p>
    <w:p w14:paraId="14E19B17">
      <w:pPr>
        <w:pStyle w:val="2"/>
        <w:ind w:firstLine="210"/>
        <w:rPr>
          <w:rFonts w:asciiTheme="minorEastAsia" w:hAnsiTheme="minorEastAsia" w:eastAsiaTheme="minorEastAsia" w:cstheme="minorEastAsia"/>
          <w:color w:val="000000"/>
          <w:szCs w:val="21"/>
          <w:lang w:eastAsia="zh-CN"/>
        </w:rPr>
      </w:pPr>
    </w:p>
    <w:p w14:paraId="2E077458">
      <w:pPr>
        <w:pStyle w:val="2"/>
        <w:ind w:firstLine="210"/>
        <w:rPr>
          <w:rFonts w:asciiTheme="minorEastAsia" w:hAnsiTheme="minorEastAsia" w:eastAsiaTheme="minorEastAsia" w:cstheme="minorEastAsia"/>
          <w:color w:val="000000"/>
          <w:szCs w:val="21"/>
          <w:lang w:eastAsia="zh-CN"/>
        </w:rPr>
      </w:pPr>
    </w:p>
    <w:p w14:paraId="6F0731E4">
      <w:pPr>
        <w:pStyle w:val="2"/>
        <w:ind w:firstLine="210"/>
        <w:rPr>
          <w:rFonts w:asciiTheme="minorEastAsia" w:hAnsiTheme="minorEastAsia" w:eastAsiaTheme="minorEastAsia" w:cstheme="minorEastAsia"/>
          <w:color w:val="000000"/>
          <w:szCs w:val="21"/>
          <w:lang w:eastAsia="zh-CN"/>
        </w:rPr>
      </w:pPr>
    </w:p>
    <w:p w14:paraId="0211D8D4">
      <w:pPr>
        <w:pStyle w:val="2"/>
        <w:ind w:firstLine="210"/>
        <w:rPr>
          <w:rFonts w:asciiTheme="minorEastAsia" w:hAnsiTheme="minorEastAsia" w:eastAsiaTheme="minorEastAsia" w:cstheme="minorEastAsia"/>
          <w:color w:val="000000"/>
          <w:szCs w:val="21"/>
          <w:lang w:eastAsia="zh-CN"/>
        </w:rPr>
      </w:pPr>
    </w:p>
    <w:p w14:paraId="01B7E28F">
      <w:pPr>
        <w:pStyle w:val="2"/>
        <w:ind w:firstLine="210"/>
        <w:rPr>
          <w:rFonts w:asciiTheme="minorEastAsia" w:hAnsiTheme="minorEastAsia" w:eastAsiaTheme="minorEastAsia" w:cstheme="minorEastAsia"/>
          <w:color w:val="000000"/>
          <w:szCs w:val="21"/>
          <w:lang w:eastAsia="zh-CN"/>
        </w:rPr>
      </w:pPr>
    </w:p>
    <w:p w14:paraId="508162A7">
      <w:pPr>
        <w:pStyle w:val="2"/>
        <w:ind w:firstLine="210"/>
        <w:rPr>
          <w:rFonts w:asciiTheme="minorEastAsia" w:hAnsiTheme="minorEastAsia" w:eastAsiaTheme="minorEastAsia" w:cstheme="minorEastAsia"/>
          <w:color w:val="000000"/>
          <w:szCs w:val="21"/>
          <w:lang w:eastAsia="zh-CN"/>
        </w:rPr>
      </w:pPr>
    </w:p>
    <w:p w14:paraId="0EB272B8">
      <w:pPr>
        <w:spacing w:line="360" w:lineRule="auto"/>
        <w:jc w:val="left"/>
        <w:rPr>
          <w:rFonts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附件1：</w:t>
      </w:r>
    </w:p>
    <w:p w14:paraId="6EE7AC59">
      <w:pPr>
        <w:spacing w:line="360" w:lineRule="auto"/>
        <w:jc w:val="center"/>
        <w:rPr>
          <w:rFonts w:asciiTheme="minorEastAsia" w:hAnsiTheme="minorEastAsia" w:eastAsiaTheme="minorEastAsia" w:cstheme="minorEastAsia"/>
          <w:szCs w:val="21"/>
        </w:rPr>
      </w:pPr>
      <w:r>
        <w:rPr>
          <w:rFonts w:hint="eastAsia" w:ascii="黑体" w:hAnsi="黑体" w:eastAsia="黑体" w:cs="黑体"/>
          <w:sz w:val="24"/>
        </w:rPr>
        <w:t>竞谈函</w:t>
      </w:r>
    </w:p>
    <w:p w14:paraId="48CBB251">
      <w:pPr>
        <w:spacing w:line="360" w:lineRule="auto"/>
        <w:ind w:firstLine="420" w:firstLineChars="200"/>
        <w:jc w:val="left"/>
        <w:rPr>
          <w:rFonts w:asciiTheme="minorEastAsia" w:hAnsiTheme="minorEastAsia" w:eastAsiaTheme="minorEastAsia" w:cstheme="minorEastAsia"/>
          <w:color w:val="000000"/>
          <w:szCs w:val="21"/>
          <w:u w:val="single"/>
        </w:rPr>
      </w:pPr>
      <w:r>
        <w:rPr>
          <w:rFonts w:hint="eastAsia" w:asciiTheme="minorEastAsia" w:hAnsiTheme="minorEastAsia" w:eastAsiaTheme="minorEastAsia" w:cstheme="minorEastAsia"/>
          <w:color w:val="000000"/>
          <w:szCs w:val="21"/>
        </w:rPr>
        <w:t>致：（竞谈组织方）</w:t>
      </w:r>
    </w:p>
    <w:p w14:paraId="49849B20">
      <w:pPr>
        <w:spacing w:line="360" w:lineRule="auto"/>
        <w:ind w:firstLine="420" w:firstLineChars="200"/>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根据</w:t>
      </w:r>
      <w:r>
        <w:rPr>
          <w:rFonts w:hint="eastAsia" w:asciiTheme="minorEastAsia" w:hAnsiTheme="minorEastAsia" w:eastAsiaTheme="minorEastAsia" w:cstheme="minorEastAsia"/>
          <w:szCs w:val="21"/>
        </w:rPr>
        <w:t>佛山事业部部</w:t>
      </w:r>
      <w:r>
        <w:rPr>
          <w:rFonts w:hint="eastAsia" w:asciiTheme="minorEastAsia" w:hAnsiTheme="minorEastAsia" w:eastAsiaTheme="minorEastAsia" w:cstheme="minorEastAsia"/>
          <w:szCs w:val="21"/>
          <w:u w:val="single"/>
        </w:rPr>
        <w:t>钣金自动喷涂线</w:t>
      </w:r>
      <w:r>
        <w:rPr>
          <w:rFonts w:hint="eastAsia" w:asciiTheme="minorEastAsia" w:hAnsiTheme="minorEastAsia" w:eastAsiaTheme="minorEastAsia" w:cstheme="minorEastAsia"/>
          <w:szCs w:val="21"/>
        </w:rPr>
        <w:t>项目</w:t>
      </w:r>
      <w:r>
        <w:rPr>
          <w:rFonts w:hint="eastAsia" w:asciiTheme="minorEastAsia" w:hAnsiTheme="minorEastAsia" w:eastAsiaTheme="minorEastAsia" w:cstheme="minorEastAsia"/>
          <w:color w:val="000000"/>
          <w:szCs w:val="21"/>
        </w:rPr>
        <w:t>的竞争性谈判文件的要求，正式授权的下述签字人（姓名和职务）代表竞谈方</w:t>
      </w:r>
      <w:r>
        <w:rPr>
          <w:rFonts w:hint="eastAsia" w:asciiTheme="minorEastAsia" w:hAnsiTheme="minorEastAsia" w:eastAsiaTheme="minorEastAsia" w:cstheme="minorEastAsia"/>
          <w:color w:val="000000"/>
          <w:szCs w:val="21"/>
          <w:u w:val="single"/>
        </w:rPr>
        <w:t>__________________</w:t>
      </w:r>
      <w:r>
        <w:rPr>
          <w:rFonts w:hint="eastAsia" w:asciiTheme="minorEastAsia" w:hAnsiTheme="minorEastAsia" w:eastAsiaTheme="minorEastAsia" w:cstheme="minorEastAsia"/>
          <w:color w:val="000000"/>
          <w:szCs w:val="21"/>
        </w:rPr>
        <w:t>，提交下列文件1 份。</w:t>
      </w:r>
    </w:p>
    <w:p w14:paraId="7F400252">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1、报价单；</w:t>
      </w:r>
    </w:p>
    <w:p w14:paraId="55A612FA">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2、资格证明文件；</w:t>
      </w:r>
    </w:p>
    <w:p w14:paraId="5F32DF27">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3、项目实施方案；</w:t>
      </w:r>
    </w:p>
    <w:p w14:paraId="3DA7CF4F">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4、谈判文件中要求竞谈方交付的一切文件。</w:t>
      </w:r>
    </w:p>
    <w:p w14:paraId="69C8D201">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签字人兹宣布并同意下列各点：</w:t>
      </w:r>
    </w:p>
    <w:p w14:paraId="582D5511">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1、竞谈者根据谈判文件规定执行合同的责任和义务；</w:t>
      </w:r>
    </w:p>
    <w:p w14:paraId="5E254BCF">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2、竞谈者已详细审查了全部的谈判文件，包括澄清文件和所有供参阅的资料及有关附件。竞谈者完全知晓并自愿放弃在这方面提出含糊不清或误解的一切权利；</w:t>
      </w:r>
    </w:p>
    <w:p w14:paraId="57DA2DD9">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3、提供竞谈组织方可能要求的与竞谈有关的任何数据或资料；</w:t>
      </w:r>
    </w:p>
    <w:p w14:paraId="681DBC04">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4、作为竞谈单位，我们保证遵守商业秘密，不以其他形式在任何时间对外泄露有关本次竞谈的内容，否则愿承担3万元违约责任；</w:t>
      </w:r>
    </w:p>
    <w:p w14:paraId="57C2CBA7">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5、有关本次竞谈的所有正式通讯应致：</w:t>
      </w:r>
    </w:p>
    <w:p w14:paraId="670BBC94">
      <w:pPr>
        <w:spacing w:line="360" w:lineRule="auto"/>
        <w:jc w:val="left"/>
        <w:rPr>
          <w:rFonts w:asciiTheme="minorEastAsia" w:hAnsiTheme="minorEastAsia" w:eastAsiaTheme="minorEastAsia" w:cstheme="minorEastAsia"/>
          <w:b/>
          <w:bCs/>
          <w:color w:val="000000"/>
          <w:sz w:val="24"/>
          <w:highlight w:val="yellow"/>
        </w:rPr>
      </w:pPr>
      <w:r>
        <w:rPr>
          <w:rFonts w:hint="eastAsia" w:asciiTheme="minorEastAsia" w:hAnsiTheme="minorEastAsia" w:eastAsiaTheme="minorEastAsia" w:cstheme="minorEastAsia"/>
          <w:b/>
          <w:bCs/>
          <w:color w:val="000000"/>
          <w:sz w:val="24"/>
        </w:rPr>
        <w:t>地    址：</w:t>
      </w:r>
      <w:r>
        <w:rPr>
          <w:rFonts w:hint="eastAsia" w:asciiTheme="minorEastAsia" w:hAnsiTheme="minorEastAsia" w:eastAsiaTheme="minorEastAsia" w:cstheme="minorEastAsia"/>
          <w:b/>
          <w:bCs/>
          <w:color w:val="000000"/>
          <w:sz w:val="24"/>
          <w:highlight w:val="yellow"/>
        </w:rPr>
        <w:t>广东省佛山市三水区乐平镇西乐大道全丰产业园佛山弘吉科技有限公司</w:t>
      </w:r>
    </w:p>
    <w:p w14:paraId="484E5DB8">
      <w:pPr>
        <w:spacing w:line="360" w:lineRule="auto"/>
        <w:jc w:val="left"/>
        <w:rPr>
          <w:rFonts w:asciiTheme="minorEastAsia" w:hAnsiTheme="minorEastAsia" w:eastAsiaTheme="minorEastAsia" w:cstheme="minorEastAsia"/>
          <w:b/>
          <w:bCs/>
          <w:color w:val="000000"/>
          <w:sz w:val="24"/>
          <w:highlight w:val="yellow"/>
        </w:rPr>
      </w:pPr>
      <w:r>
        <w:rPr>
          <w:rFonts w:hint="eastAsia" w:asciiTheme="minorEastAsia" w:hAnsiTheme="minorEastAsia" w:eastAsiaTheme="minorEastAsia" w:cstheme="minorEastAsia"/>
          <w:b/>
          <w:bCs/>
          <w:color w:val="000000"/>
          <w:sz w:val="24"/>
          <w:highlight w:val="yellow"/>
        </w:rPr>
        <w:t>收件人：褚贵娟</w:t>
      </w:r>
    </w:p>
    <w:p w14:paraId="016E4187">
      <w:pPr>
        <w:spacing w:line="360" w:lineRule="auto"/>
        <w:jc w:val="left"/>
        <w:rPr>
          <w:rFonts w:asciiTheme="minorEastAsia" w:hAnsiTheme="minorEastAsia" w:eastAsiaTheme="minorEastAsia" w:cstheme="minorEastAsia"/>
          <w:b/>
          <w:bCs/>
          <w:color w:val="000000"/>
          <w:sz w:val="24"/>
          <w:highlight w:val="yellow"/>
        </w:rPr>
      </w:pPr>
      <w:r>
        <w:rPr>
          <w:rFonts w:hint="eastAsia" w:asciiTheme="minorEastAsia" w:hAnsiTheme="minorEastAsia" w:eastAsiaTheme="minorEastAsia" w:cstheme="minorEastAsia"/>
          <w:b/>
          <w:bCs/>
          <w:color w:val="000000"/>
          <w:sz w:val="24"/>
          <w:highlight w:val="yellow"/>
        </w:rPr>
        <w:t>电    话：18738708153</w:t>
      </w:r>
    </w:p>
    <w:p w14:paraId="7DD477CF">
      <w:pPr>
        <w:spacing w:line="360" w:lineRule="auto"/>
        <w:jc w:val="left"/>
        <w:rPr>
          <w:rFonts w:asciiTheme="minorEastAsia" w:hAnsiTheme="minorEastAsia" w:eastAsiaTheme="minorEastAsia" w:cstheme="minorEastAsia"/>
          <w:b/>
          <w:bCs/>
          <w:color w:val="000000"/>
          <w:sz w:val="24"/>
          <w:highlight w:val="yellow"/>
        </w:rPr>
      </w:pPr>
      <w:r>
        <w:rPr>
          <w:rFonts w:hint="eastAsia" w:asciiTheme="minorEastAsia" w:hAnsiTheme="minorEastAsia" w:eastAsiaTheme="minorEastAsia" w:cstheme="minorEastAsia"/>
          <w:b/>
          <w:bCs/>
          <w:color w:val="000000"/>
          <w:sz w:val="24"/>
          <w:highlight w:val="yellow"/>
        </w:rPr>
        <w:t xml:space="preserve">电子邮件：guijuan.chu@gaoco.cn </w:t>
      </w:r>
    </w:p>
    <w:p w14:paraId="5B054100">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（竞谈方单位名称）</w:t>
      </w:r>
    </w:p>
    <w:p w14:paraId="739B8BAB">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（地址）</w:t>
      </w:r>
    </w:p>
    <w:p w14:paraId="314A03D3">
      <w:pPr>
        <w:spacing w:line="360" w:lineRule="auto"/>
        <w:jc w:val="lef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（公章）</w:t>
      </w:r>
      <w:bookmarkStart w:id="11" w:name="_Toc118686680"/>
      <w:bookmarkStart w:id="12" w:name="_Toc118710547"/>
    </w:p>
    <w:bookmarkEnd w:id="11"/>
    <w:bookmarkEnd w:id="12"/>
    <w:p w14:paraId="7F819449">
      <w:pPr>
        <w:spacing w:line="360" w:lineRule="auto"/>
        <w:jc w:val="left"/>
        <w:rPr>
          <w:rFonts w:asciiTheme="minorEastAsia" w:hAnsiTheme="minorEastAsia" w:eastAsiaTheme="minorEastAsia" w:cstheme="minorEastAsia"/>
          <w:color w:val="000000"/>
          <w:szCs w:val="21"/>
        </w:rPr>
      </w:pPr>
      <w:bookmarkStart w:id="13" w:name="附件一："/>
    </w:p>
    <w:p w14:paraId="29229E2C">
      <w:pPr>
        <w:spacing w:line="360" w:lineRule="auto"/>
        <w:jc w:val="left"/>
        <w:rPr>
          <w:rFonts w:asciiTheme="minorEastAsia" w:hAnsiTheme="minorEastAsia" w:eastAsiaTheme="minorEastAsia" w:cstheme="minorEastAsia"/>
          <w:b/>
          <w:bCs/>
          <w:color w:val="000000"/>
          <w:szCs w:val="21"/>
        </w:rPr>
      </w:pPr>
    </w:p>
    <w:p w14:paraId="301AB5F5">
      <w:pPr>
        <w:spacing w:line="360" w:lineRule="auto"/>
        <w:jc w:val="left"/>
        <w:rPr>
          <w:rFonts w:asciiTheme="minorEastAsia" w:hAnsiTheme="minorEastAsia" w:eastAsiaTheme="minorEastAsia" w:cstheme="minorEastAsia"/>
          <w:b/>
          <w:bCs/>
          <w:color w:val="000000"/>
          <w:szCs w:val="21"/>
        </w:rPr>
      </w:pPr>
    </w:p>
    <w:p w14:paraId="337BAF12">
      <w:pPr>
        <w:spacing w:line="360" w:lineRule="auto"/>
        <w:jc w:val="left"/>
        <w:rPr>
          <w:rFonts w:asciiTheme="minorEastAsia" w:hAnsiTheme="minorEastAsia" w:eastAsiaTheme="minorEastAsia" w:cstheme="minorEastAsia"/>
          <w:b/>
          <w:bCs/>
          <w:color w:val="000000"/>
          <w:szCs w:val="21"/>
        </w:rPr>
      </w:pPr>
    </w:p>
    <w:p w14:paraId="2AF8242D">
      <w:pPr>
        <w:spacing w:line="360" w:lineRule="auto"/>
        <w:jc w:val="left"/>
        <w:rPr>
          <w:rFonts w:asciiTheme="minorEastAsia" w:hAnsiTheme="minorEastAsia" w:eastAsiaTheme="minorEastAsia" w:cstheme="minorEastAsia"/>
          <w:b/>
          <w:bCs/>
          <w:color w:val="000000"/>
          <w:szCs w:val="21"/>
        </w:rPr>
      </w:pPr>
      <w:r>
        <w:rPr>
          <w:rFonts w:hint="eastAsia" w:asciiTheme="minorEastAsia" w:hAnsiTheme="minorEastAsia" w:eastAsiaTheme="minorEastAsia" w:cstheme="minorEastAsia"/>
          <w:b/>
          <w:bCs/>
          <w:color w:val="000000"/>
          <w:szCs w:val="21"/>
        </w:rPr>
        <w:t>附件2：</w:t>
      </w:r>
      <w:bookmarkEnd w:id="13"/>
    </w:p>
    <w:p w14:paraId="0C9095A3">
      <w:pPr>
        <w:spacing w:line="360" w:lineRule="auto"/>
        <w:jc w:val="center"/>
        <w:rPr>
          <w:rFonts w:ascii="黑体" w:hAnsi="黑体" w:eastAsia="黑体" w:cs="黑体"/>
          <w:sz w:val="24"/>
        </w:rPr>
      </w:pPr>
      <w:r>
        <w:rPr>
          <w:rFonts w:hint="eastAsia" w:ascii="黑体" w:hAnsi="黑体" w:eastAsia="黑体" w:cs="黑体"/>
          <w:sz w:val="24"/>
        </w:rPr>
        <w:t>合肥高科科技股份有限公司项目报价</w:t>
      </w:r>
    </w:p>
    <w:p w14:paraId="21C9460A">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项目名称：</w:t>
      </w:r>
      <w:r>
        <w:rPr>
          <w:rFonts w:hint="eastAsia" w:asciiTheme="minorEastAsia" w:hAnsiTheme="minorEastAsia" w:eastAsiaTheme="minorEastAsia" w:cstheme="minorEastAsia"/>
          <w:szCs w:val="21"/>
          <w:u w:val="single"/>
        </w:rPr>
        <w:t>钣金自动喷涂线</w:t>
      </w:r>
      <w:r>
        <w:rPr>
          <w:rFonts w:hint="eastAsia" w:asciiTheme="minorEastAsia" w:hAnsiTheme="minorEastAsia" w:eastAsiaTheme="minorEastAsia" w:cstheme="minorEastAsia"/>
          <w:szCs w:val="21"/>
        </w:rPr>
        <w:t xml:space="preserve">                </w:t>
      </w:r>
    </w:p>
    <w:p w14:paraId="4190AD79">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报价日期：</w:t>
      </w:r>
    </w:p>
    <w:tbl>
      <w:tblPr>
        <w:tblStyle w:val="20"/>
        <w:tblpPr w:leftFromText="180" w:rightFromText="180" w:vertAnchor="page" w:horzAnchor="page" w:tblpXSpec="center" w:tblpY="3828"/>
        <w:tblW w:w="87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1929"/>
        <w:gridCol w:w="4388"/>
        <w:gridCol w:w="1833"/>
      </w:tblGrid>
      <w:tr w14:paraId="0D82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633" w:type="dxa"/>
            <w:vAlign w:val="center"/>
          </w:tcPr>
          <w:p w14:paraId="665BCB81">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929" w:type="dxa"/>
            <w:vAlign w:val="center"/>
          </w:tcPr>
          <w:p w14:paraId="6A9AF7D1">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项目内容</w:t>
            </w:r>
          </w:p>
        </w:tc>
        <w:tc>
          <w:tcPr>
            <w:tcW w:w="4388" w:type="dxa"/>
            <w:vAlign w:val="center"/>
          </w:tcPr>
          <w:p w14:paraId="5621F29A">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约定内容</w:t>
            </w:r>
          </w:p>
        </w:tc>
        <w:tc>
          <w:tcPr>
            <w:tcW w:w="1833" w:type="dxa"/>
            <w:vAlign w:val="center"/>
          </w:tcPr>
          <w:p w14:paraId="6F64EA70">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5DC8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33" w:type="dxa"/>
            <w:vAlign w:val="center"/>
          </w:tcPr>
          <w:p w14:paraId="6DC55D8A">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929" w:type="dxa"/>
            <w:vAlign w:val="center"/>
          </w:tcPr>
          <w:p w14:paraId="47A25CE3">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钣金自动喷涂线项目总价</w:t>
            </w:r>
          </w:p>
        </w:tc>
        <w:tc>
          <w:tcPr>
            <w:tcW w:w="4388" w:type="dxa"/>
            <w:vAlign w:val="center"/>
          </w:tcPr>
          <w:p w14:paraId="3AD23DB7">
            <w:pPr>
              <w:spacing w:line="360" w:lineRule="auto"/>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元/</w:t>
            </w:r>
            <w:r>
              <w:rPr>
                <w:rFonts w:hint="eastAsia" w:asciiTheme="minorEastAsia" w:hAnsiTheme="minorEastAsia" w:eastAsiaTheme="minorEastAsia" w:cstheme="minorEastAsia"/>
                <w:szCs w:val="21"/>
                <w:lang w:val="en-US" w:eastAsia="zh-CN"/>
              </w:rPr>
              <w:t>条</w:t>
            </w:r>
          </w:p>
        </w:tc>
        <w:tc>
          <w:tcPr>
            <w:tcW w:w="1833" w:type="dxa"/>
            <w:vAlign w:val="center"/>
          </w:tcPr>
          <w:p w14:paraId="2E9679BC">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含税   %</w:t>
            </w:r>
          </w:p>
        </w:tc>
      </w:tr>
      <w:tr w14:paraId="6395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633" w:type="dxa"/>
            <w:vAlign w:val="center"/>
          </w:tcPr>
          <w:p w14:paraId="028AFD10">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929" w:type="dxa"/>
            <w:vAlign w:val="center"/>
          </w:tcPr>
          <w:p w14:paraId="291B0463">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项目交付周期</w:t>
            </w:r>
          </w:p>
        </w:tc>
        <w:tc>
          <w:tcPr>
            <w:tcW w:w="4388" w:type="dxa"/>
            <w:vAlign w:val="center"/>
          </w:tcPr>
          <w:p w14:paraId="0C841EF0">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____年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日至_____年__月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43A3A6EB">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（日历天）</w:t>
            </w:r>
          </w:p>
        </w:tc>
        <w:tc>
          <w:tcPr>
            <w:tcW w:w="1833" w:type="dxa"/>
            <w:vAlign w:val="center"/>
          </w:tcPr>
          <w:p w14:paraId="78475504">
            <w:pPr>
              <w:spacing w:line="360" w:lineRule="auto"/>
              <w:jc w:val="center"/>
              <w:rPr>
                <w:rFonts w:asciiTheme="minorEastAsia" w:hAnsiTheme="minorEastAsia" w:eastAsiaTheme="minorEastAsia" w:cstheme="minorEastAsia"/>
                <w:szCs w:val="21"/>
              </w:rPr>
            </w:pPr>
          </w:p>
        </w:tc>
      </w:tr>
      <w:tr w14:paraId="6DFD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633" w:type="dxa"/>
            <w:vAlign w:val="center"/>
          </w:tcPr>
          <w:p w14:paraId="790AEB4A">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1929" w:type="dxa"/>
            <w:vAlign w:val="center"/>
          </w:tcPr>
          <w:p w14:paraId="32F16BD2">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质量标准</w:t>
            </w:r>
          </w:p>
        </w:tc>
        <w:tc>
          <w:tcPr>
            <w:tcW w:w="4388" w:type="dxa"/>
            <w:vAlign w:val="center"/>
          </w:tcPr>
          <w:p w14:paraId="72C22D87">
            <w:pPr>
              <w:spacing w:line="360" w:lineRule="auto"/>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见谈判文件项目技术要求</w:t>
            </w:r>
          </w:p>
        </w:tc>
        <w:tc>
          <w:tcPr>
            <w:tcW w:w="1833" w:type="dxa"/>
            <w:vAlign w:val="center"/>
          </w:tcPr>
          <w:p w14:paraId="1E5996DF">
            <w:pPr>
              <w:spacing w:line="360" w:lineRule="auto"/>
              <w:jc w:val="center"/>
              <w:rPr>
                <w:rFonts w:asciiTheme="minorEastAsia" w:hAnsiTheme="minorEastAsia" w:eastAsiaTheme="minorEastAsia" w:cstheme="minorEastAsia"/>
                <w:szCs w:val="21"/>
              </w:rPr>
            </w:pPr>
          </w:p>
        </w:tc>
      </w:tr>
      <w:tr w14:paraId="50C4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6" w:hRule="atLeast"/>
          <w:jc w:val="center"/>
        </w:trPr>
        <w:tc>
          <w:tcPr>
            <w:tcW w:w="8783" w:type="dxa"/>
            <w:gridSpan w:val="4"/>
          </w:tcPr>
          <w:p w14:paraId="3643AF41">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质保期：</w:t>
            </w:r>
          </w:p>
          <w:p w14:paraId="5DA723DB">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供货周期：</w:t>
            </w:r>
          </w:p>
          <w:p w14:paraId="70178131">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优惠条件：</w:t>
            </w:r>
          </w:p>
        </w:tc>
      </w:tr>
    </w:tbl>
    <w:p w14:paraId="0EFC1E1A">
      <w:pPr>
        <w:spacing w:line="360" w:lineRule="auto"/>
        <w:jc w:val="left"/>
        <w:rPr>
          <w:rFonts w:asciiTheme="minorEastAsia" w:hAnsiTheme="minorEastAsia" w:eastAsiaTheme="minorEastAsia" w:cstheme="minorEastAsia"/>
          <w:b/>
          <w:bCs/>
          <w:color w:val="000000"/>
          <w:szCs w:val="21"/>
        </w:rPr>
      </w:pPr>
    </w:p>
    <w:p w14:paraId="791B7ACC">
      <w:pPr>
        <w:spacing w:line="360" w:lineRule="auto"/>
        <w:rPr>
          <w:rFonts w:ascii="黑体" w:hAnsi="黑体" w:eastAsia="黑体" w:cs="黑体"/>
          <w:sz w:val="24"/>
        </w:rPr>
      </w:pPr>
      <w:r>
        <w:rPr>
          <w:rFonts w:hint="eastAsia" w:asciiTheme="minorEastAsia" w:hAnsiTheme="minorEastAsia" w:eastAsiaTheme="minorEastAsia"/>
          <w:sz w:val="23"/>
          <w:szCs w:val="23"/>
        </w:rPr>
        <w:t>以上价格</w:t>
      </w:r>
      <w:r>
        <w:rPr>
          <w:rFonts w:hint="eastAsia" w:cs="Arial" w:asciiTheme="minorEastAsia" w:hAnsiTheme="minorEastAsia" w:eastAsiaTheme="minorEastAsia"/>
          <w:sz w:val="23"/>
          <w:szCs w:val="23"/>
        </w:rPr>
        <w:t>含安装、调试、运费、卸车吊装费。</w:t>
      </w:r>
    </w:p>
    <w:p w14:paraId="2E42DC85">
      <w:pPr>
        <w:spacing w:line="360" w:lineRule="auto"/>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法定代表人或授权委托人确认：（签字、盖章）</w:t>
      </w:r>
    </w:p>
    <w:p w14:paraId="36795228">
      <w:pPr>
        <w:pStyle w:val="2"/>
        <w:ind w:left="0" w:leftChars="0" w:firstLine="0" w:firstLineChars="0"/>
        <w:rPr>
          <w:rFonts w:asciiTheme="minorEastAsia" w:hAnsiTheme="minorEastAsia" w:eastAsiaTheme="minorEastAsia" w:cstheme="minorEastAsia"/>
          <w:b/>
          <w:bCs/>
          <w:color w:val="000000"/>
          <w:szCs w:val="21"/>
        </w:rPr>
      </w:pPr>
    </w:p>
    <w:p w14:paraId="6D2389D2">
      <w:pPr>
        <w:pStyle w:val="2"/>
        <w:ind w:left="0" w:leftChars="0" w:firstLine="0" w:firstLineChars="0"/>
        <w:rPr>
          <w:rFonts w:asciiTheme="minorEastAsia" w:hAnsiTheme="minorEastAsia" w:eastAsiaTheme="minorEastAsia" w:cstheme="minorEastAsia"/>
          <w:b/>
          <w:bCs/>
          <w:color w:val="000000"/>
          <w:szCs w:val="21"/>
        </w:rPr>
      </w:pPr>
    </w:p>
    <w:p w14:paraId="6B742817">
      <w:pPr>
        <w:pStyle w:val="2"/>
        <w:ind w:left="0" w:leftChars="0" w:firstLine="0" w:firstLineChars="0"/>
        <w:rPr>
          <w:rFonts w:asciiTheme="minorEastAsia" w:hAnsiTheme="minorEastAsia" w:eastAsiaTheme="minorEastAsia" w:cstheme="minorEastAsia"/>
          <w:b/>
          <w:bCs/>
          <w:color w:val="000000"/>
          <w:szCs w:val="21"/>
        </w:rPr>
      </w:pPr>
    </w:p>
    <w:p w14:paraId="7BA947C9">
      <w:pPr>
        <w:pStyle w:val="2"/>
        <w:ind w:left="0" w:leftChars="0" w:firstLine="0" w:firstLineChars="0"/>
        <w:rPr>
          <w:rFonts w:asciiTheme="minorEastAsia" w:hAnsiTheme="minorEastAsia" w:eastAsiaTheme="minorEastAsia" w:cstheme="minorEastAsia"/>
          <w:b/>
          <w:bCs/>
          <w:color w:val="000000"/>
          <w:szCs w:val="21"/>
        </w:rPr>
      </w:pPr>
    </w:p>
    <w:p w14:paraId="04F7193C">
      <w:pPr>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color w:val="000000"/>
          <w:szCs w:val="21"/>
        </w:rPr>
        <w:t>附件3：</w:t>
      </w:r>
      <w:bookmarkStart w:id="14" w:name="_Toc118686678"/>
      <w:bookmarkEnd w:id="14"/>
      <w:bookmarkStart w:id="15" w:name="_Toc118341490"/>
      <w:bookmarkEnd w:id="15"/>
      <w:bookmarkStart w:id="16" w:name="_Toc118287347"/>
      <w:bookmarkEnd w:id="16"/>
      <w:bookmarkStart w:id="17" w:name="_Toc118287037"/>
      <w:bookmarkEnd w:id="17"/>
      <w:bookmarkStart w:id="18" w:name="附件六："/>
      <w:bookmarkEnd w:id="18"/>
      <w:bookmarkStart w:id="19" w:name="_Toc118710545"/>
      <w:bookmarkEnd w:id="19"/>
    </w:p>
    <w:p w14:paraId="04A7A2F9">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钣金自动喷涂线</w:t>
      </w:r>
      <w:r>
        <w:rPr>
          <w:rFonts w:hint="eastAsia" w:asciiTheme="minorEastAsia" w:hAnsiTheme="minorEastAsia" w:eastAsiaTheme="minorEastAsia" w:cstheme="minorEastAsia"/>
          <w:szCs w:val="21"/>
          <w:lang w:val="en-US" w:eastAsia="zh-CN"/>
        </w:rPr>
        <w:t>报价清单</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 xml:space="preserve">            </w:t>
      </w:r>
    </w:p>
    <w:sectPr>
      <w:headerReference r:id="rId6" w:type="first"/>
      <w:footerReference r:id="rId8" w:type="first"/>
      <w:footerReference r:id="rId7" w:type="default"/>
      <w:pgSz w:w="11906" w:h="16838"/>
      <w:pgMar w:top="1440" w:right="1080" w:bottom="1440" w:left="1080" w:header="567" w:footer="283"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Yu Mincho Light">
    <w:altName w:val="MS Gothic"/>
    <w:panose1 w:val="00000000000000000000"/>
    <w:charset w:val="80"/>
    <w:family w:val="roman"/>
    <w:pitch w:val="default"/>
    <w:sig w:usb0="00000000" w:usb1="00000000" w:usb2="00000012" w:usb3="00000000" w:csb0="0002009F" w:csb1="00000000"/>
  </w:font>
  <w:font w:name="MS Gothic">
    <w:panose1 w:val="020B0609070205080204"/>
    <w:charset w:val="80"/>
    <w:family w:val="auto"/>
    <w:pitch w:val="default"/>
    <w:sig w:usb0="E00002FF" w:usb1="6AC7FDFB" w:usb2="08000012" w:usb3="00000000" w:csb0="4002009F" w:csb1="DFD70000"/>
  </w:font>
  <w:font w:name="MingLiU">
    <w:altName w:val="Microsoft JhengHei"/>
    <w:panose1 w:val="02010609000101010101"/>
    <w:charset w:val="88"/>
    <w:family w:val="moder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華康仿宋體">
    <w:altName w:val="Microsoft JhengHei"/>
    <w:panose1 w:val="00000000000000000000"/>
    <w:charset w:val="88"/>
    <w:family w:val="modern"/>
    <w:pitch w:val="default"/>
    <w:sig w:usb0="00000000" w:usb1="00000000" w:usb2="00000010" w:usb3="00000000" w:csb0="0010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F01F2">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76465">
    <w:pPr>
      <w:pStyle w:val="16"/>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C81C75">
                          <w:pPr>
                            <w:pStyle w:val="16"/>
                          </w:pPr>
                          <w:r>
                            <w:t xml:space="preserve">第 </w:t>
                          </w:r>
                          <w:r>
                            <w:fldChar w:fldCharType="begin"/>
                          </w:r>
                          <w:r>
                            <w:instrText xml:space="preserve"> PAGE  \* MERGEFORMAT </w:instrText>
                          </w:r>
                          <w:r>
                            <w:fldChar w:fldCharType="separate"/>
                          </w:r>
                          <w:r>
                            <w:t>23</w:t>
                          </w:r>
                          <w:r>
                            <w:fldChar w:fldCharType="end"/>
                          </w:r>
                          <w:r>
                            <w:t xml:space="preserve"> 页 共</w:t>
                          </w:r>
                          <w:r>
                            <w:rPr>
                              <w:rFonts w:hint="eastAsia"/>
                            </w:rPr>
                            <w:t>10</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1CC81C75">
                    <w:pPr>
                      <w:pStyle w:val="16"/>
                    </w:pPr>
                    <w:r>
                      <w:t xml:space="preserve">第 </w:t>
                    </w:r>
                    <w:r>
                      <w:fldChar w:fldCharType="begin"/>
                    </w:r>
                    <w:r>
                      <w:instrText xml:space="preserve"> PAGE  \* MERGEFORMAT </w:instrText>
                    </w:r>
                    <w:r>
                      <w:fldChar w:fldCharType="separate"/>
                    </w:r>
                    <w:r>
                      <w:t>23</w:t>
                    </w:r>
                    <w:r>
                      <w:fldChar w:fldCharType="end"/>
                    </w:r>
                    <w:r>
                      <w:t xml:space="preserve"> 页 共</w:t>
                    </w:r>
                    <w:r>
                      <w:rPr>
                        <w:rFonts w:hint="eastAsia"/>
                      </w:rPr>
                      <w:t>10</w:t>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6C87C">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748765">
                          <w:pPr>
                            <w:pStyle w:val="1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rPr>
                            <w:t>10</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52748765">
                    <w:pPr>
                      <w:pStyle w:val="1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rPr>
                      <w:t>10</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1B6ED">
    <w:pPr>
      <w:jc w:val="right"/>
      <w:rPr>
        <w:b/>
        <w:bCs/>
        <w:sz w:val="22"/>
      </w:rPr>
    </w:pPr>
    <w:r>
      <w:rPr>
        <w:b/>
        <w:bCs/>
        <w:sz w:val="22"/>
      </w:rPr>
      <w:tab/>
    </w:r>
    <w:r>
      <w:rPr>
        <w:b/>
        <w:bCs/>
        <w:sz w:val="22"/>
      </w:rPr>
      <w:tab/>
    </w:r>
  </w:p>
  <w:p w14:paraId="4DD36250">
    <w:pPr>
      <w:jc w:val="right"/>
      <w:rPr>
        <w:b/>
        <w:bCs/>
        <w:sz w:val="22"/>
      </w:rPr>
    </w:pPr>
  </w:p>
  <w:p w14:paraId="416F6417">
    <w:pPr>
      <w:jc w:val="right"/>
      <w:rPr>
        <w:b/>
        <w:bCs/>
        <w:sz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C9031">
    <w:pPr>
      <w:pStyle w:val="17"/>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52E47">
    <w:pPr>
      <w:jc w:val="right"/>
      <w:rPr>
        <w:rFonts w:ascii="宋体" w:hAnsi="宋体" w:cs="宋体"/>
        <w:szCs w:val="21"/>
      </w:rPr>
    </w:pPr>
  </w:p>
  <w:p w14:paraId="4EED082C">
    <w:pPr>
      <w:jc w:val="right"/>
      <w:rPr>
        <w:rFonts w:ascii="宋体" w:hAnsi="宋体" w:cs="宋体"/>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7393AF"/>
    <w:multiLevelType w:val="singleLevel"/>
    <w:tmpl w:val="8B7393AF"/>
    <w:lvl w:ilvl="0" w:tentative="0">
      <w:start w:val="1"/>
      <w:numFmt w:val="chineseCounting"/>
      <w:suff w:val="nothing"/>
      <w:lvlText w:val="%1、"/>
      <w:lvlJc w:val="left"/>
      <w:rPr>
        <w:rFonts w:hint="eastAsia"/>
      </w:rPr>
    </w:lvl>
  </w:abstractNum>
  <w:abstractNum w:abstractNumId="1">
    <w:nsid w:val="CFE3D7B9"/>
    <w:multiLevelType w:val="singleLevel"/>
    <w:tmpl w:val="CFE3D7B9"/>
    <w:lvl w:ilvl="0" w:tentative="0">
      <w:start w:val="4"/>
      <w:numFmt w:val="chineseCounting"/>
      <w:suff w:val="space"/>
      <w:lvlText w:val="第%1章"/>
      <w:lvlJc w:val="left"/>
      <w:rPr>
        <w:rFonts w:hint="eastAsia"/>
      </w:rPr>
    </w:lvl>
  </w:abstractNum>
  <w:abstractNum w:abstractNumId="2">
    <w:nsid w:val="04BE222E"/>
    <w:multiLevelType w:val="singleLevel"/>
    <w:tmpl w:val="04BE222E"/>
    <w:lvl w:ilvl="0" w:tentative="0">
      <w:start w:val="1"/>
      <w:numFmt w:val="chineseCounting"/>
      <w:suff w:val="nothing"/>
      <w:lvlText w:val="%1、"/>
      <w:lvlJc w:val="left"/>
      <w:rPr>
        <w:rFonts w:hint="eastAsia"/>
      </w:rPr>
    </w:lvl>
  </w:abstractNum>
  <w:abstractNum w:abstractNumId="3">
    <w:nsid w:val="2E9C4D7B"/>
    <w:multiLevelType w:val="multilevel"/>
    <w:tmpl w:val="2E9C4D7B"/>
    <w:lvl w:ilvl="0" w:tentative="0">
      <w:start w:val="4"/>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F7B06C5"/>
    <w:multiLevelType w:val="singleLevel"/>
    <w:tmpl w:val="4F7B06C5"/>
    <w:lvl w:ilvl="0" w:tentative="0">
      <w:start w:val="3"/>
      <w:numFmt w:val="chineseCounting"/>
      <w:suff w:val="space"/>
      <w:lvlText w:val="第%1章"/>
      <w:lvlJc w:val="left"/>
      <w:rPr>
        <w:rFonts w:hint="eastAsia"/>
      </w:rPr>
    </w:lvl>
  </w:abstractNum>
  <w:abstractNum w:abstractNumId="5">
    <w:nsid w:val="57052B63"/>
    <w:multiLevelType w:val="multilevel"/>
    <w:tmpl w:val="57052B63"/>
    <w:lvl w:ilvl="0" w:tentative="0">
      <w:start w:val="4"/>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640C66E4"/>
    <w:multiLevelType w:val="multilevel"/>
    <w:tmpl w:val="640C66E4"/>
    <w:lvl w:ilvl="0" w:tentative="0">
      <w:start w:val="2"/>
      <w:numFmt w:val="decimal"/>
      <w:suff w:val="nothing"/>
      <w:lvlText w:val="%1、"/>
      <w:lvlJc w:val="left"/>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6BE57AFB"/>
    <w:multiLevelType w:val="multilevel"/>
    <w:tmpl w:val="6BE57AF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7814E0D7"/>
    <w:multiLevelType w:val="singleLevel"/>
    <w:tmpl w:val="7814E0D7"/>
    <w:lvl w:ilvl="0" w:tentative="0">
      <w:start w:val="2"/>
      <w:numFmt w:val="chineseCounting"/>
      <w:suff w:val="space"/>
      <w:lvlText w:val="第%1章"/>
      <w:lvlJc w:val="left"/>
      <w:rPr>
        <w:rFonts w:hint="eastAsia"/>
      </w:rPr>
    </w:lvl>
  </w:abstractNum>
  <w:num w:numId="1">
    <w:abstractNumId w:val="6"/>
  </w:num>
  <w:num w:numId="2">
    <w:abstractNumId w:val="8"/>
  </w:num>
  <w:num w:numId="3">
    <w:abstractNumId w:val="4"/>
  </w:num>
  <w:num w:numId="4">
    <w:abstractNumId w:val="0"/>
  </w:num>
  <w:num w:numId="5">
    <w:abstractNumId w:val="7"/>
  </w:num>
  <w:num w:numId="6">
    <w:abstractNumId w:val="5"/>
  </w:num>
  <w:num w:numId="7">
    <w:abstractNumId w:val="3"/>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gutterAtTop/>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hNjYxZTM1MTg5YmRiNWJjMWM1MTA5NDI4NzdiNjMifQ=="/>
  </w:docVars>
  <w:rsids>
    <w:rsidRoot w:val="00172A27"/>
    <w:rsid w:val="0000187C"/>
    <w:rsid w:val="00006461"/>
    <w:rsid w:val="0003121F"/>
    <w:rsid w:val="000421E3"/>
    <w:rsid w:val="00045930"/>
    <w:rsid w:val="000461FD"/>
    <w:rsid w:val="00060322"/>
    <w:rsid w:val="00064025"/>
    <w:rsid w:val="000710DF"/>
    <w:rsid w:val="00094F85"/>
    <w:rsid w:val="000A4F06"/>
    <w:rsid w:val="000A7DD6"/>
    <w:rsid w:val="000B2B29"/>
    <w:rsid w:val="000B57D2"/>
    <w:rsid w:val="000C189B"/>
    <w:rsid w:val="000C3E77"/>
    <w:rsid w:val="000D102D"/>
    <w:rsid w:val="000D4D83"/>
    <w:rsid w:val="000F1F38"/>
    <w:rsid w:val="000F2F12"/>
    <w:rsid w:val="000F615B"/>
    <w:rsid w:val="000F61A9"/>
    <w:rsid w:val="000F7DCD"/>
    <w:rsid w:val="00103795"/>
    <w:rsid w:val="00104D9B"/>
    <w:rsid w:val="001151C7"/>
    <w:rsid w:val="001427D8"/>
    <w:rsid w:val="00146D78"/>
    <w:rsid w:val="001478A9"/>
    <w:rsid w:val="0015110D"/>
    <w:rsid w:val="001663E1"/>
    <w:rsid w:val="00172A27"/>
    <w:rsid w:val="0017634B"/>
    <w:rsid w:val="001816F3"/>
    <w:rsid w:val="0018673E"/>
    <w:rsid w:val="00197675"/>
    <w:rsid w:val="001A67D4"/>
    <w:rsid w:val="001A75AB"/>
    <w:rsid w:val="001B0058"/>
    <w:rsid w:val="001B0532"/>
    <w:rsid w:val="001B2FFC"/>
    <w:rsid w:val="001C0717"/>
    <w:rsid w:val="001E2395"/>
    <w:rsid w:val="0020121A"/>
    <w:rsid w:val="002041F8"/>
    <w:rsid w:val="002171AB"/>
    <w:rsid w:val="00226766"/>
    <w:rsid w:val="00232FF6"/>
    <w:rsid w:val="00233AC3"/>
    <w:rsid w:val="00234429"/>
    <w:rsid w:val="00240996"/>
    <w:rsid w:val="002545B3"/>
    <w:rsid w:val="00261236"/>
    <w:rsid w:val="002664B9"/>
    <w:rsid w:val="00266F1E"/>
    <w:rsid w:val="0027524C"/>
    <w:rsid w:val="00275E8D"/>
    <w:rsid w:val="00277801"/>
    <w:rsid w:val="0028442B"/>
    <w:rsid w:val="00286FCD"/>
    <w:rsid w:val="002873C6"/>
    <w:rsid w:val="00294237"/>
    <w:rsid w:val="002B16CE"/>
    <w:rsid w:val="002B3B3B"/>
    <w:rsid w:val="002B6A40"/>
    <w:rsid w:val="002C65E5"/>
    <w:rsid w:val="002E01C1"/>
    <w:rsid w:val="002E0E25"/>
    <w:rsid w:val="002E1922"/>
    <w:rsid w:val="002E1AD0"/>
    <w:rsid w:val="002F49B2"/>
    <w:rsid w:val="00300502"/>
    <w:rsid w:val="00311C98"/>
    <w:rsid w:val="00317A81"/>
    <w:rsid w:val="00317A93"/>
    <w:rsid w:val="00321E68"/>
    <w:rsid w:val="00322ECE"/>
    <w:rsid w:val="0032303D"/>
    <w:rsid w:val="00337574"/>
    <w:rsid w:val="00340304"/>
    <w:rsid w:val="003408FF"/>
    <w:rsid w:val="00343FE0"/>
    <w:rsid w:val="00344B10"/>
    <w:rsid w:val="0035529F"/>
    <w:rsid w:val="00355ACD"/>
    <w:rsid w:val="0037288D"/>
    <w:rsid w:val="00376F2A"/>
    <w:rsid w:val="00385EF4"/>
    <w:rsid w:val="00392799"/>
    <w:rsid w:val="00394DA3"/>
    <w:rsid w:val="003A4D64"/>
    <w:rsid w:val="003C03AA"/>
    <w:rsid w:val="003C28DE"/>
    <w:rsid w:val="003D43F2"/>
    <w:rsid w:val="003E3F61"/>
    <w:rsid w:val="003F13CA"/>
    <w:rsid w:val="003F2EE5"/>
    <w:rsid w:val="003F4420"/>
    <w:rsid w:val="003F5DE5"/>
    <w:rsid w:val="003F7101"/>
    <w:rsid w:val="00404EC1"/>
    <w:rsid w:val="00410675"/>
    <w:rsid w:val="00434161"/>
    <w:rsid w:val="00463144"/>
    <w:rsid w:val="004674AB"/>
    <w:rsid w:val="00477414"/>
    <w:rsid w:val="00496249"/>
    <w:rsid w:val="0049638F"/>
    <w:rsid w:val="004A7E72"/>
    <w:rsid w:val="004B485A"/>
    <w:rsid w:val="004B5141"/>
    <w:rsid w:val="004C2781"/>
    <w:rsid w:val="004D70FA"/>
    <w:rsid w:val="004E0934"/>
    <w:rsid w:val="004E0E9E"/>
    <w:rsid w:val="0050084B"/>
    <w:rsid w:val="0050656B"/>
    <w:rsid w:val="00534BA8"/>
    <w:rsid w:val="0053631F"/>
    <w:rsid w:val="005418D4"/>
    <w:rsid w:val="005429EA"/>
    <w:rsid w:val="005431A9"/>
    <w:rsid w:val="00547D2C"/>
    <w:rsid w:val="005635F8"/>
    <w:rsid w:val="00563FA1"/>
    <w:rsid w:val="005721F6"/>
    <w:rsid w:val="005831FF"/>
    <w:rsid w:val="005874FA"/>
    <w:rsid w:val="005A2F45"/>
    <w:rsid w:val="005B7BC2"/>
    <w:rsid w:val="005C7B31"/>
    <w:rsid w:val="005D03D6"/>
    <w:rsid w:val="005D4F5F"/>
    <w:rsid w:val="005D5BB5"/>
    <w:rsid w:val="005E109A"/>
    <w:rsid w:val="005E45DA"/>
    <w:rsid w:val="005F2283"/>
    <w:rsid w:val="006241B8"/>
    <w:rsid w:val="00624F35"/>
    <w:rsid w:val="00634215"/>
    <w:rsid w:val="006443D4"/>
    <w:rsid w:val="00646EDE"/>
    <w:rsid w:val="00656327"/>
    <w:rsid w:val="006577A0"/>
    <w:rsid w:val="00662317"/>
    <w:rsid w:val="0066304C"/>
    <w:rsid w:val="00666B14"/>
    <w:rsid w:val="0067655C"/>
    <w:rsid w:val="006904E0"/>
    <w:rsid w:val="006A57E2"/>
    <w:rsid w:val="006B68C3"/>
    <w:rsid w:val="006C09CC"/>
    <w:rsid w:val="006C4AD7"/>
    <w:rsid w:val="006F0D85"/>
    <w:rsid w:val="006F1C23"/>
    <w:rsid w:val="006F26A9"/>
    <w:rsid w:val="00740952"/>
    <w:rsid w:val="0075160B"/>
    <w:rsid w:val="007555D7"/>
    <w:rsid w:val="00765764"/>
    <w:rsid w:val="00774523"/>
    <w:rsid w:val="007806FB"/>
    <w:rsid w:val="00781930"/>
    <w:rsid w:val="0079323C"/>
    <w:rsid w:val="00795879"/>
    <w:rsid w:val="0079653F"/>
    <w:rsid w:val="007B7E42"/>
    <w:rsid w:val="007C4E09"/>
    <w:rsid w:val="007C7A50"/>
    <w:rsid w:val="007D145E"/>
    <w:rsid w:val="007D4B5D"/>
    <w:rsid w:val="007E15D5"/>
    <w:rsid w:val="007E5286"/>
    <w:rsid w:val="007F053E"/>
    <w:rsid w:val="008007B0"/>
    <w:rsid w:val="008013D6"/>
    <w:rsid w:val="008330F9"/>
    <w:rsid w:val="00852256"/>
    <w:rsid w:val="0085556C"/>
    <w:rsid w:val="008619A3"/>
    <w:rsid w:val="00872903"/>
    <w:rsid w:val="0087464C"/>
    <w:rsid w:val="008A55D5"/>
    <w:rsid w:val="008B36E1"/>
    <w:rsid w:val="008B4EAA"/>
    <w:rsid w:val="008C5CCA"/>
    <w:rsid w:val="008C7E1B"/>
    <w:rsid w:val="008D4624"/>
    <w:rsid w:val="008D4981"/>
    <w:rsid w:val="008D594A"/>
    <w:rsid w:val="008D60C9"/>
    <w:rsid w:val="008E34DA"/>
    <w:rsid w:val="008E4ED2"/>
    <w:rsid w:val="009012F0"/>
    <w:rsid w:val="00913E18"/>
    <w:rsid w:val="009301AE"/>
    <w:rsid w:val="00932C82"/>
    <w:rsid w:val="009511C1"/>
    <w:rsid w:val="0096072F"/>
    <w:rsid w:val="00965A6B"/>
    <w:rsid w:val="009B368C"/>
    <w:rsid w:val="009B5246"/>
    <w:rsid w:val="009B614F"/>
    <w:rsid w:val="009D41FE"/>
    <w:rsid w:val="009E1B27"/>
    <w:rsid w:val="009E63B5"/>
    <w:rsid w:val="009E670B"/>
    <w:rsid w:val="00A17167"/>
    <w:rsid w:val="00A44B88"/>
    <w:rsid w:val="00A46126"/>
    <w:rsid w:val="00A5041E"/>
    <w:rsid w:val="00A84218"/>
    <w:rsid w:val="00A8435F"/>
    <w:rsid w:val="00A92723"/>
    <w:rsid w:val="00AA6DF3"/>
    <w:rsid w:val="00AA7F21"/>
    <w:rsid w:val="00AB3EB0"/>
    <w:rsid w:val="00AB7AB6"/>
    <w:rsid w:val="00AB7C7C"/>
    <w:rsid w:val="00AC2895"/>
    <w:rsid w:val="00AC2C09"/>
    <w:rsid w:val="00AE06CB"/>
    <w:rsid w:val="00AE2706"/>
    <w:rsid w:val="00B112CB"/>
    <w:rsid w:val="00B16336"/>
    <w:rsid w:val="00B32BDF"/>
    <w:rsid w:val="00B37165"/>
    <w:rsid w:val="00B40D8E"/>
    <w:rsid w:val="00B471D2"/>
    <w:rsid w:val="00B47353"/>
    <w:rsid w:val="00B62173"/>
    <w:rsid w:val="00B63974"/>
    <w:rsid w:val="00B6649A"/>
    <w:rsid w:val="00B726E1"/>
    <w:rsid w:val="00B76E30"/>
    <w:rsid w:val="00B772F1"/>
    <w:rsid w:val="00B91DE6"/>
    <w:rsid w:val="00B96FE6"/>
    <w:rsid w:val="00B97495"/>
    <w:rsid w:val="00BA34F5"/>
    <w:rsid w:val="00BA6F1E"/>
    <w:rsid w:val="00BB32AB"/>
    <w:rsid w:val="00BD7274"/>
    <w:rsid w:val="00BE3201"/>
    <w:rsid w:val="00C210D5"/>
    <w:rsid w:val="00C22AF8"/>
    <w:rsid w:val="00C231B4"/>
    <w:rsid w:val="00C233E1"/>
    <w:rsid w:val="00C4395F"/>
    <w:rsid w:val="00C44E0F"/>
    <w:rsid w:val="00C67ABF"/>
    <w:rsid w:val="00C75042"/>
    <w:rsid w:val="00C81F57"/>
    <w:rsid w:val="00C953B1"/>
    <w:rsid w:val="00C97E93"/>
    <w:rsid w:val="00CA27C9"/>
    <w:rsid w:val="00CB2D2B"/>
    <w:rsid w:val="00CC67A9"/>
    <w:rsid w:val="00CE16A8"/>
    <w:rsid w:val="00D1440B"/>
    <w:rsid w:val="00D14C66"/>
    <w:rsid w:val="00D34BE3"/>
    <w:rsid w:val="00D41EF6"/>
    <w:rsid w:val="00D53780"/>
    <w:rsid w:val="00D57915"/>
    <w:rsid w:val="00D64A91"/>
    <w:rsid w:val="00D72A19"/>
    <w:rsid w:val="00D77775"/>
    <w:rsid w:val="00D90B99"/>
    <w:rsid w:val="00D9231E"/>
    <w:rsid w:val="00D9429C"/>
    <w:rsid w:val="00D96319"/>
    <w:rsid w:val="00DA68FA"/>
    <w:rsid w:val="00DB0D10"/>
    <w:rsid w:val="00DB7CA2"/>
    <w:rsid w:val="00DC39B0"/>
    <w:rsid w:val="00DF472D"/>
    <w:rsid w:val="00E0427F"/>
    <w:rsid w:val="00E06374"/>
    <w:rsid w:val="00E07A19"/>
    <w:rsid w:val="00E14035"/>
    <w:rsid w:val="00E14E38"/>
    <w:rsid w:val="00E2200C"/>
    <w:rsid w:val="00E26EE9"/>
    <w:rsid w:val="00E32E16"/>
    <w:rsid w:val="00E4254B"/>
    <w:rsid w:val="00E45132"/>
    <w:rsid w:val="00E4597C"/>
    <w:rsid w:val="00E632F6"/>
    <w:rsid w:val="00E6689C"/>
    <w:rsid w:val="00E820EE"/>
    <w:rsid w:val="00E8546D"/>
    <w:rsid w:val="00E87D7E"/>
    <w:rsid w:val="00E9058B"/>
    <w:rsid w:val="00E906D5"/>
    <w:rsid w:val="00E92097"/>
    <w:rsid w:val="00E938EC"/>
    <w:rsid w:val="00E949CA"/>
    <w:rsid w:val="00EA3C41"/>
    <w:rsid w:val="00ED3491"/>
    <w:rsid w:val="00EF75A7"/>
    <w:rsid w:val="00EF7D2F"/>
    <w:rsid w:val="00F00F5A"/>
    <w:rsid w:val="00F10E13"/>
    <w:rsid w:val="00F12C55"/>
    <w:rsid w:val="00F17105"/>
    <w:rsid w:val="00F361CB"/>
    <w:rsid w:val="00F4635E"/>
    <w:rsid w:val="00F71780"/>
    <w:rsid w:val="00F725D3"/>
    <w:rsid w:val="00F72E91"/>
    <w:rsid w:val="00F86E5A"/>
    <w:rsid w:val="00F93ABA"/>
    <w:rsid w:val="00F95843"/>
    <w:rsid w:val="00F96D35"/>
    <w:rsid w:val="00FA2A8F"/>
    <w:rsid w:val="00FA5DDE"/>
    <w:rsid w:val="00FC50B8"/>
    <w:rsid w:val="00FD0A8E"/>
    <w:rsid w:val="00FE36D0"/>
    <w:rsid w:val="00FE397E"/>
    <w:rsid w:val="00FE5063"/>
    <w:rsid w:val="00FE692D"/>
    <w:rsid w:val="00FF1D55"/>
    <w:rsid w:val="00FF60C5"/>
    <w:rsid w:val="00FF7CEB"/>
    <w:rsid w:val="01964270"/>
    <w:rsid w:val="01A050EF"/>
    <w:rsid w:val="028B36A9"/>
    <w:rsid w:val="02DA018C"/>
    <w:rsid w:val="03250E34"/>
    <w:rsid w:val="039842CF"/>
    <w:rsid w:val="045F4AD9"/>
    <w:rsid w:val="04B769D7"/>
    <w:rsid w:val="04B8274F"/>
    <w:rsid w:val="05AC0006"/>
    <w:rsid w:val="0609042C"/>
    <w:rsid w:val="07AB20F7"/>
    <w:rsid w:val="08760428"/>
    <w:rsid w:val="08A6123D"/>
    <w:rsid w:val="08F85810"/>
    <w:rsid w:val="09051AF7"/>
    <w:rsid w:val="091066B6"/>
    <w:rsid w:val="093018F7"/>
    <w:rsid w:val="0A1E77C4"/>
    <w:rsid w:val="0B3379DD"/>
    <w:rsid w:val="0C7927C4"/>
    <w:rsid w:val="0C9C13E3"/>
    <w:rsid w:val="0D5C797B"/>
    <w:rsid w:val="0DC0710E"/>
    <w:rsid w:val="0E4A08BC"/>
    <w:rsid w:val="0E8518F4"/>
    <w:rsid w:val="0ED83F48"/>
    <w:rsid w:val="0F2D0212"/>
    <w:rsid w:val="0FE1528A"/>
    <w:rsid w:val="10156CA8"/>
    <w:rsid w:val="106E162D"/>
    <w:rsid w:val="10C07249"/>
    <w:rsid w:val="119D28F5"/>
    <w:rsid w:val="1236213A"/>
    <w:rsid w:val="12695089"/>
    <w:rsid w:val="13DB3D64"/>
    <w:rsid w:val="13E175CD"/>
    <w:rsid w:val="14005579"/>
    <w:rsid w:val="14096B23"/>
    <w:rsid w:val="151D2886"/>
    <w:rsid w:val="15615881"/>
    <w:rsid w:val="15910B7E"/>
    <w:rsid w:val="15BE3D9A"/>
    <w:rsid w:val="163E44B3"/>
    <w:rsid w:val="165B5A48"/>
    <w:rsid w:val="168C0473"/>
    <w:rsid w:val="16CF7BB0"/>
    <w:rsid w:val="174D6D27"/>
    <w:rsid w:val="17606A5A"/>
    <w:rsid w:val="176B7382"/>
    <w:rsid w:val="17935082"/>
    <w:rsid w:val="17B62FCE"/>
    <w:rsid w:val="18A254E0"/>
    <w:rsid w:val="19193365"/>
    <w:rsid w:val="191B4526"/>
    <w:rsid w:val="192B3D0D"/>
    <w:rsid w:val="19E229D6"/>
    <w:rsid w:val="1AE4265B"/>
    <w:rsid w:val="1C0C0F5F"/>
    <w:rsid w:val="1C370539"/>
    <w:rsid w:val="1C577C5E"/>
    <w:rsid w:val="1C654B13"/>
    <w:rsid w:val="1CB6536F"/>
    <w:rsid w:val="1CEC1448"/>
    <w:rsid w:val="1D66585C"/>
    <w:rsid w:val="1E5866DD"/>
    <w:rsid w:val="1F4201E6"/>
    <w:rsid w:val="1F843502"/>
    <w:rsid w:val="1F894CFB"/>
    <w:rsid w:val="1FEA0A20"/>
    <w:rsid w:val="21106716"/>
    <w:rsid w:val="213D7E0C"/>
    <w:rsid w:val="217557F8"/>
    <w:rsid w:val="226562AB"/>
    <w:rsid w:val="23103A2A"/>
    <w:rsid w:val="23241284"/>
    <w:rsid w:val="23A93537"/>
    <w:rsid w:val="23C12F77"/>
    <w:rsid w:val="24984577"/>
    <w:rsid w:val="25566A31"/>
    <w:rsid w:val="257445A4"/>
    <w:rsid w:val="27EC04E4"/>
    <w:rsid w:val="281C4C20"/>
    <w:rsid w:val="28706A49"/>
    <w:rsid w:val="28F82100"/>
    <w:rsid w:val="29EF2A60"/>
    <w:rsid w:val="29FD1EE2"/>
    <w:rsid w:val="2A226958"/>
    <w:rsid w:val="2AB715C0"/>
    <w:rsid w:val="2AEE5E25"/>
    <w:rsid w:val="2B251701"/>
    <w:rsid w:val="2B4B11C7"/>
    <w:rsid w:val="2B8F395A"/>
    <w:rsid w:val="2BDE35C1"/>
    <w:rsid w:val="2C7574ED"/>
    <w:rsid w:val="2CC9541A"/>
    <w:rsid w:val="2D7C75B1"/>
    <w:rsid w:val="2E0A7CEF"/>
    <w:rsid w:val="2E3600BD"/>
    <w:rsid w:val="2EFE2891"/>
    <w:rsid w:val="2F3A2C00"/>
    <w:rsid w:val="2F785509"/>
    <w:rsid w:val="2FE93CFB"/>
    <w:rsid w:val="2FF215C2"/>
    <w:rsid w:val="30274161"/>
    <w:rsid w:val="30654C8A"/>
    <w:rsid w:val="30F15E88"/>
    <w:rsid w:val="317909ED"/>
    <w:rsid w:val="32432DA9"/>
    <w:rsid w:val="32847649"/>
    <w:rsid w:val="32FA6F15"/>
    <w:rsid w:val="33484B1B"/>
    <w:rsid w:val="33641229"/>
    <w:rsid w:val="33F11059"/>
    <w:rsid w:val="34592D57"/>
    <w:rsid w:val="34FC03B8"/>
    <w:rsid w:val="350A0FA4"/>
    <w:rsid w:val="356035C6"/>
    <w:rsid w:val="35935DF5"/>
    <w:rsid w:val="36AA40C5"/>
    <w:rsid w:val="36CA1CEB"/>
    <w:rsid w:val="37A10C9D"/>
    <w:rsid w:val="38561A88"/>
    <w:rsid w:val="394E6C03"/>
    <w:rsid w:val="3B1F2594"/>
    <w:rsid w:val="3B950B19"/>
    <w:rsid w:val="3B9D5C20"/>
    <w:rsid w:val="3D09356D"/>
    <w:rsid w:val="3D131CD6"/>
    <w:rsid w:val="3D9077EA"/>
    <w:rsid w:val="3DD56B48"/>
    <w:rsid w:val="3DF71617"/>
    <w:rsid w:val="3E1F4EA7"/>
    <w:rsid w:val="3E573E64"/>
    <w:rsid w:val="3EBC460F"/>
    <w:rsid w:val="3EBE1DEC"/>
    <w:rsid w:val="3F4D5E84"/>
    <w:rsid w:val="40864ED4"/>
    <w:rsid w:val="419E624E"/>
    <w:rsid w:val="41BC3913"/>
    <w:rsid w:val="41E561F5"/>
    <w:rsid w:val="420A5691"/>
    <w:rsid w:val="420B38E3"/>
    <w:rsid w:val="42F666FF"/>
    <w:rsid w:val="42FC76D0"/>
    <w:rsid w:val="431D7D9C"/>
    <w:rsid w:val="435B1649"/>
    <w:rsid w:val="43915564"/>
    <w:rsid w:val="43CF26EE"/>
    <w:rsid w:val="444035EC"/>
    <w:rsid w:val="44B97803"/>
    <w:rsid w:val="450070BD"/>
    <w:rsid w:val="45736838"/>
    <w:rsid w:val="46152BA1"/>
    <w:rsid w:val="46487256"/>
    <w:rsid w:val="470B1C8F"/>
    <w:rsid w:val="4740402F"/>
    <w:rsid w:val="474E1506"/>
    <w:rsid w:val="475F1FDB"/>
    <w:rsid w:val="47A125F4"/>
    <w:rsid w:val="47A35FC6"/>
    <w:rsid w:val="47B94B33"/>
    <w:rsid w:val="48294E3C"/>
    <w:rsid w:val="4849003A"/>
    <w:rsid w:val="485B6C46"/>
    <w:rsid w:val="488066AD"/>
    <w:rsid w:val="497362CE"/>
    <w:rsid w:val="49952DC4"/>
    <w:rsid w:val="49DE7B2F"/>
    <w:rsid w:val="4C59349D"/>
    <w:rsid w:val="4E261534"/>
    <w:rsid w:val="4EAF1A9A"/>
    <w:rsid w:val="51343A9D"/>
    <w:rsid w:val="51752B27"/>
    <w:rsid w:val="520970DF"/>
    <w:rsid w:val="52157E66"/>
    <w:rsid w:val="538C29F6"/>
    <w:rsid w:val="53B52EB8"/>
    <w:rsid w:val="53E64C28"/>
    <w:rsid w:val="542D76E9"/>
    <w:rsid w:val="545F27ED"/>
    <w:rsid w:val="546E385E"/>
    <w:rsid w:val="54DA7145"/>
    <w:rsid w:val="55674BF2"/>
    <w:rsid w:val="55FE4309"/>
    <w:rsid w:val="563369E9"/>
    <w:rsid w:val="564F2AFF"/>
    <w:rsid w:val="57197C1C"/>
    <w:rsid w:val="57407733"/>
    <w:rsid w:val="579730CB"/>
    <w:rsid w:val="57E53558"/>
    <w:rsid w:val="58935F89"/>
    <w:rsid w:val="58960066"/>
    <w:rsid w:val="58E74F9D"/>
    <w:rsid w:val="59253A01"/>
    <w:rsid w:val="59DB7BE7"/>
    <w:rsid w:val="59E6430E"/>
    <w:rsid w:val="5A081EC3"/>
    <w:rsid w:val="5A627366"/>
    <w:rsid w:val="5A9C5772"/>
    <w:rsid w:val="5B0B2A3D"/>
    <w:rsid w:val="5B3F5331"/>
    <w:rsid w:val="5BA927BC"/>
    <w:rsid w:val="5C424FDA"/>
    <w:rsid w:val="5CCF4FE3"/>
    <w:rsid w:val="5DEE1362"/>
    <w:rsid w:val="5ED846F5"/>
    <w:rsid w:val="5F245B8C"/>
    <w:rsid w:val="5F2B6F1B"/>
    <w:rsid w:val="603F304B"/>
    <w:rsid w:val="604069F6"/>
    <w:rsid w:val="606A3A73"/>
    <w:rsid w:val="61670626"/>
    <w:rsid w:val="61882403"/>
    <w:rsid w:val="61A86601"/>
    <w:rsid w:val="61B4622B"/>
    <w:rsid w:val="62386550"/>
    <w:rsid w:val="63862611"/>
    <w:rsid w:val="638F59E4"/>
    <w:rsid w:val="63AD724D"/>
    <w:rsid w:val="643057AF"/>
    <w:rsid w:val="64346872"/>
    <w:rsid w:val="644E3A1E"/>
    <w:rsid w:val="64CD36F9"/>
    <w:rsid w:val="6502071E"/>
    <w:rsid w:val="654B1F02"/>
    <w:rsid w:val="65901886"/>
    <w:rsid w:val="65BE68A0"/>
    <w:rsid w:val="65DC0F6F"/>
    <w:rsid w:val="65E00EFD"/>
    <w:rsid w:val="67670D0C"/>
    <w:rsid w:val="676E7577"/>
    <w:rsid w:val="67A06958"/>
    <w:rsid w:val="6809591F"/>
    <w:rsid w:val="68242759"/>
    <w:rsid w:val="6954706E"/>
    <w:rsid w:val="69564B94"/>
    <w:rsid w:val="69584DB0"/>
    <w:rsid w:val="69E3692E"/>
    <w:rsid w:val="6A12278A"/>
    <w:rsid w:val="6A7F534A"/>
    <w:rsid w:val="6AFB1E97"/>
    <w:rsid w:val="6B086362"/>
    <w:rsid w:val="6B895757"/>
    <w:rsid w:val="6BC36562"/>
    <w:rsid w:val="6BF56FBD"/>
    <w:rsid w:val="6C070840"/>
    <w:rsid w:val="6C417D7E"/>
    <w:rsid w:val="6C5F0204"/>
    <w:rsid w:val="6CE41E34"/>
    <w:rsid w:val="6CE76D0B"/>
    <w:rsid w:val="6CE801F9"/>
    <w:rsid w:val="6D040A20"/>
    <w:rsid w:val="6D4A1D11"/>
    <w:rsid w:val="6DAD31F1"/>
    <w:rsid w:val="6E750D85"/>
    <w:rsid w:val="6F1E5DBA"/>
    <w:rsid w:val="6FFD3FBC"/>
    <w:rsid w:val="706E4EB9"/>
    <w:rsid w:val="70A200B9"/>
    <w:rsid w:val="70B52AE8"/>
    <w:rsid w:val="70B7060E"/>
    <w:rsid w:val="70E92792"/>
    <w:rsid w:val="70F27898"/>
    <w:rsid w:val="7134351C"/>
    <w:rsid w:val="7184128B"/>
    <w:rsid w:val="718E4D19"/>
    <w:rsid w:val="718F158B"/>
    <w:rsid w:val="71E41963"/>
    <w:rsid w:val="72CC5EC7"/>
    <w:rsid w:val="72F31107"/>
    <w:rsid w:val="72FA6ED8"/>
    <w:rsid w:val="73852193"/>
    <w:rsid w:val="739E5AB6"/>
    <w:rsid w:val="73C05F4B"/>
    <w:rsid w:val="73ED07EB"/>
    <w:rsid w:val="73FC0A2E"/>
    <w:rsid w:val="74624D35"/>
    <w:rsid w:val="74B11819"/>
    <w:rsid w:val="76200A04"/>
    <w:rsid w:val="7677579C"/>
    <w:rsid w:val="76BD26F7"/>
    <w:rsid w:val="7729767F"/>
    <w:rsid w:val="77B37656"/>
    <w:rsid w:val="77E85551"/>
    <w:rsid w:val="784310AD"/>
    <w:rsid w:val="794739A6"/>
    <w:rsid w:val="794D29FF"/>
    <w:rsid w:val="7AD41DBD"/>
    <w:rsid w:val="7B006494"/>
    <w:rsid w:val="7BC2255D"/>
    <w:rsid w:val="7BC57B1D"/>
    <w:rsid w:val="7C043BD6"/>
    <w:rsid w:val="7D8319BD"/>
    <w:rsid w:val="7E0024BA"/>
    <w:rsid w:val="7E0D5D12"/>
    <w:rsid w:val="7E795155"/>
    <w:rsid w:val="7E8E425E"/>
    <w:rsid w:val="7E9A50CB"/>
    <w:rsid w:val="7F1A419A"/>
    <w:rsid w:val="7F2D7CEE"/>
    <w:rsid w:val="7FA95D54"/>
    <w:rsid w:val="7FB56661"/>
    <w:rsid w:val="7FF96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6"/>
    <w:qFormat/>
    <w:uiPriority w:val="0"/>
    <w:pPr>
      <w:keepNext/>
      <w:adjustRightInd w:val="0"/>
      <w:snapToGrid w:val="0"/>
      <w:outlineLvl w:val="0"/>
    </w:pPr>
    <w:rPr>
      <w:rFonts w:ascii="宋体" w:hAnsi="宋体"/>
      <w:kern w:val="0"/>
      <w:sz w:val="28"/>
      <w:szCs w:val="50"/>
    </w:rPr>
  </w:style>
  <w:style w:type="paragraph" w:styleId="6">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7">
    <w:name w:val="heading 3"/>
    <w:basedOn w:val="1"/>
    <w:next w:val="1"/>
    <w:autoRedefine/>
    <w:qFormat/>
    <w:uiPriority w:val="0"/>
    <w:pPr>
      <w:keepNext/>
      <w:keepLines/>
      <w:spacing w:before="260" w:after="260" w:line="413" w:lineRule="auto"/>
      <w:outlineLvl w:val="2"/>
    </w:pPr>
    <w:rPr>
      <w:b/>
      <w:sz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0"/>
    <w:pPr>
      <w:ind w:firstLine="420" w:firstLineChars="100"/>
    </w:pPr>
    <w:rPr>
      <w:rFonts w:ascii="Calibri" w:hAnsi="Calibri"/>
      <w:sz w:val="21"/>
    </w:rPr>
  </w:style>
  <w:style w:type="paragraph" w:styleId="3">
    <w:name w:val="Body Text"/>
    <w:basedOn w:val="1"/>
    <w:next w:val="4"/>
    <w:qFormat/>
    <w:uiPriority w:val="1"/>
    <w:pPr>
      <w:spacing w:before="129"/>
    </w:pPr>
    <w:rPr>
      <w:rFonts w:ascii="宋体" w:hAnsi="宋体" w:cs="宋体"/>
      <w:sz w:val="18"/>
      <w:szCs w:val="18"/>
      <w:lang w:eastAsia="en-US" w:bidi="en-US"/>
    </w:rPr>
  </w:style>
  <w:style w:type="paragraph" w:styleId="4">
    <w:name w:val="Normal (Web)"/>
    <w:basedOn w:val="1"/>
    <w:qFormat/>
    <w:uiPriority w:val="99"/>
    <w:pPr>
      <w:widowControl/>
      <w:spacing w:before="100" w:beforeAutospacing="1" w:after="100" w:afterAutospacing="1"/>
      <w:jc w:val="left"/>
    </w:pPr>
    <w:rPr>
      <w:rFonts w:ascii="宋体" w:hAnsi="宋体"/>
      <w:color w:val="000000"/>
      <w:kern w:val="0"/>
      <w:sz w:val="24"/>
    </w:rPr>
  </w:style>
  <w:style w:type="paragraph" w:styleId="8">
    <w:name w:val="List 3"/>
    <w:basedOn w:val="1"/>
    <w:qFormat/>
    <w:uiPriority w:val="0"/>
    <w:pPr>
      <w:adjustRightInd w:val="0"/>
      <w:spacing w:line="360" w:lineRule="atLeast"/>
      <w:ind w:left="100" w:leftChars="400" w:hanging="200" w:hangingChars="200"/>
      <w:jc w:val="left"/>
      <w:textAlignment w:val="baseline"/>
    </w:pPr>
    <w:rPr>
      <w:rFonts w:ascii="宋体"/>
      <w:kern w:val="0"/>
      <w:szCs w:val="20"/>
    </w:rPr>
  </w:style>
  <w:style w:type="paragraph" w:styleId="9">
    <w:name w:val="Normal Indent"/>
    <w:basedOn w:val="1"/>
    <w:link w:val="36"/>
    <w:qFormat/>
    <w:uiPriority w:val="99"/>
    <w:pPr>
      <w:ind w:firstLine="420"/>
    </w:pPr>
    <w:rPr>
      <w:rFonts w:ascii="Yu Mincho Light" w:hAnsi="Yu Mincho Light" w:eastAsia="Yu Mincho Light" w:cs="Yu Mincho Light"/>
      <w:szCs w:val="20"/>
    </w:rPr>
  </w:style>
  <w:style w:type="paragraph" w:styleId="10">
    <w:name w:val="Body Text Indent"/>
    <w:basedOn w:val="1"/>
    <w:qFormat/>
    <w:uiPriority w:val="0"/>
    <w:pPr>
      <w:ind w:left="794"/>
    </w:pPr>
    <w:rPr>
      <w:sz w:val="24"/>
      <w:szCs w:val="20"/>
    </w:rPr>
  </w:style>
  <w:style w:type="paragraph" w:styleId="11">
    <w:name w:val="toc 3"/>
    <w:basedOn w:val="1"/>
    <w:next w:val="1"/>
    <w:autoRedefine/>
    <w:qFormat/>
    <w:uiPriority w:val="39"/>
    <w:pPr>
      <w:ind w:left="840" w:leftChars="400"/>
    </w:pPr>
  </w:style>
  <w:style w:type="paragraph" w:styleId="12">
    <w:name w:val="Plain Text"/>
    <w:basedOn w:val="1"/>
    <w:autoRedefine/>
    <w:qFormat/>
    <w:uiPriority w:val="0"/>
    <w:pPr>
      <w:jc w:val="left"/>
    </w:pPr>
    <w:rPr>
      <w:rFonts w:ascii="MingLiU" w:hAnsi="Courier New" w:eastAsia="MingLiU"/>
      <w:sz w:val="24"/>
      <w:szCs w:val="20"/>
      <w:lang w:eastAsia="zh-TW"/>
    </w:rPr>
  </w:style>
  <w:style w:type="paragraph" w:styleId="13">
    <w:name w:val="Date"/>
    <w:basedOn w:val="1"/>
    <w:next w:val="1"/>
    <w:autoRedefine/>
    <w:qFormat/>
    <w:uiPriority w:val="0"/>
    <w:rPr>
      <w:sz w:val="24"/>
      <w:szCs w:val="20"/>
    </w:rPr>
  </w:style>
  <w:style w:type="paragraph" w:styleId="14">
    <w:name w:val="Body Text Indent 2"/>
    <w:basedOn w:val="1"/>
    <w:autoRedefine/>
    <w:qFormat/>
    <w:uiPriority w:val="0"/>
    <w:pPr>
      <w:spacing w:line="300" w:lineRule="auto"/>
      <w:ind w:firstLine="480"/>
    </w:pPr>
    <w:rPr>
      <w:rFonts w:ascii="宋体" w:hAnsi="宋体"/>
      <w:sz w:val="24"/>
    </w:rPr>
  </w:style>
  <w:style w:type="paragraph" w:styleId="15">
    <w:name w:val="Balloon Text"/>
    <w:basedOn w:val="1"/>
    <w:link w:val="35"/>
    <w:autoRedefine/>
    <w:qFormat/>
    <w:uiPriority w:val="0"/>
    <w:rPr>
      <w:sz w:val="18"/>
      <w:szCs w:val="18"/>
    </w:rPr>
  </w:style>
  <w:style w:type="paragraph" w:styleId="16">
    <w:name w:val="footer"/>
    <w:basedOn w:val="1"/>
    <w:autoRedefine/>
    <w:qFormat/>
    <w:uiPriority w:val="0"/>
    <w:pPr>
      <w:tabs>
        <w:tab w:val="center" w:pos="4153"/>
        <w:tab w:val="right" w:pos="8306"/>
      </w:tabs>
      <w:snapToGrid w:val="0"/>
      <w:jc w:val="left"/>
    </w:pPr>
    <w:rPr>
      <w:sz w:val="18"/>
      <w:szCs w:val="18"/>
    </w:rPr>
  </w:style>
  <w:style w:type="paragraph" w:styleId="1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qFormat/>
    <w:uiPriority w:val="39"/>
  </w:style>
  <w:style w:type="paragraph" w:styleId="19">
    <w:name w:val="toc 2"/>
    <w:basedOn w:val="1"/>
    <w:next w:val="1"/>
    <w:autoRedefine/>
    <w:qFormat/>
    <w:uiPriority w:val="39"/>
    <w:pPr>
      <w:ind w:left="420" w:leftChars="200"/>
    </w:pPr>
  </w:style>
  <w:style w:type="table" w:styleId="21">
    <w:name w:val="Table Grid"/>
    <w:basedOn w:val="20"/>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autoRedefine/>
    <w:qFormat/>
    <w:uiPriority w:val="0"/>
  </w:style>
  <w:style w:type="character" w:styleId="24">
    <w:name w:val="FollowedHyperlink"/>
    <w:basedOn w:val="22"/>
    <w:autoRedefine/>
    <w:qFormat/>
    <w:uiPriority w:val="0"/>
    <w:rPr>
      <w:color w:val="800080" w:themeColor="followedHyperlink"/>
      <w:u w:val="single"/>
      <w14:textFill>
        <w14:solidFill>
          <w14:schemeClr w14:val="folHlink"/>
        </w14:solidFill>
      </w14:textFill>
    </w:rPr>
  </w:style>
  <w:style w:type="character" w:styleId="25">
    <w:name w:val="Hyperlink"/>
    <w:basedOn w:val="22"/>
    <w:autoRedefine/>
    <w:unhideWhenUsed/>
    <w:qFormat/>
    <w:uiPriority w:val="99"/>
    <w:rPr>
      <w:color w:val="0000FF"/>
      <w:u w:val="single"/>
    </w:rPr>
  </w:style>
  <w:style w:type="character" w:customStyle="1" w:styleId="26">
    <w:name w:val="标题 1 字符"/>
    <w:link w:val="5"/>
    <w:autoRedefine/>
    <w:qFormat/>
    <w:uiPriority w:val="0"/>
    <w:rPr>
      <w:rFonts w:ascii="宋体" w:hAnsi="宋体"/>
      <w:sz w:val="28"/>
      <w:szCs w:val="50"/>
    </w:rPr>
  </w:style>
  <w:style w:type="paragraph" w:customStyle="1" w:styleId="27">
    <w:name w:val="正文+7"/>
    <w:basedOn w:val="1"/>
    <w:next w:val="1"/>
    <w:autoRedefine/>
    <w:qFormat/>
    <w:uiPriority w:val="0"/>
    <w:pPr>
      <w:autoSpaceDE w:val="0"/>
      <w:autoSpaceDN w:val="0"/>
      <w:adjustRightInd w:val="0"/>
      <w:jc w:val="left"/>
    </w:pPr>
    <w:rPr>
      <w:kern w:val="0"/>
      <w:sz w:val="24"/>
    </w:rPr>
  </w:style>
  <w:style w:type="paragraph" w:customStyle="1" w:styleId="28">
    <w:name w:val="章标题"/>
    <w:next w:val="29"/>
    <w:autoRedefine/>
    <w:qFormat/>
    <w:uiPriority w:val="0"/>
    <w:pPr>
      <w:tabs>
        <w:tab w:val="left" w:pos="840"/>
      </w:tabs>
      <w:spacing w:beforeLines="50" w:afterLines="50"/>
      <w:ind w:left="840" w:hanging="420"/>
      <w:jc w:val="both"/>
      <w:outlineLvl w:val="1"/>
    </w:pPr>
    <w:rPr>
      <w:rFonts w:ascii="黑体" w:hAnsi="Times New Roman" w:eastAsia="黑体" w:cs="Times New Roman"/>
      <w:sz w:val="21"/>
      <w:lang w:val="en-US" w:eastAsia="zh-CN" w:bidi="ar-SA"/>
    </w:rPr>
  </w:style>
  <w:style w:type="paragraph" w:customStyle="1" w:styleId="2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0">
    <w:name w:val="Default"/>
    <w:autoRedefine/>
    <w:qFormat/>
    <w:uiPriority w:val="0"/>
    <w:pPr>
      <w:widowControl w:val="0"/>
      <w:autoSpaceDE w:val="0"/>
      <w:autoSpaceDN w:val="0"/>
      <w:adjustRightInd w:val="0"/>
      <w:spacing w:line="360" w:lineRule="auto"/>
      <w:jc w:val="both"/>
    </w:pPr>
    <w:rPr>
      <w:rFonts w:asciiTheme="minorEastAsia" w:hAnsiTheme="minorEastAsia" w:eastAsiaTheme="minorEastAsia" w:cstheme="minorEastAsia"/>
      <w:b/>
      <w:bCs/>
      <w:color w:val="000000"/>
      <w:sz w:val="21"/>
      <w:szCs w:val="21"/>
      <w:lang w:val="en-US" w:eastAsia="zh-CN" w:bidi="ar-SA"/>
    </w:rPr>
  </w:style>
  <w:style w:type="paragraph" w:customStyle="1" w:styleId="31">
    <w:name w:val="CM2"/>
    <w:basedOn w:val="30"/>
    <w:next w:val="30"/>
    <w:autoRedefine/>
    <w:qFormat/>
    <w:uiPriority w:val="99"/>
    <w:rPr>
      <w:rFonts w:cs="Times New Roman"/>
      <w:color w:val="auto"/>
    </w:rPr>
  </w:style>
  <w:style w:type="paragraph" w:customStyle="1" w:styleId="32">
    <w:name w:val="CM6"/>
    <w:basedOn w:val="30"/>
    <w:next w:val="30"/>
    <w:autoRedefine/>
    <w:qFormat/>
    <w:uiPriority w:val="99"/>
    <w:rPr>
      <w:rFonts w:cs="Times New Roman"/>
      <w:color w:val="auto"/>
    </w:rPr>
  </w:style>
  <w:style w:type="paragraph" w:styleId="33">
    <w:name w:val="List Paragraph"/>
    <w:basedOn w:val="1"/>
    <w:autoRedefine/>
    <w:qFormat/>
    <w:uiPriority w:val="99"/>
    <w:pPr>
      <w:ind w:firstLine="420" w:firstLineChars="200"/>
    </w:pPr>
  </w:style>
  <w:style w:type="paragraph" w:customStyle="1" w:styleId="34">
    <w:name w:val="TOC 标题1"/>
    <w:basedOn w:val="5"/>
    <w:next w:val="1"/>
    <w:autoRedefine/>
    <w:semiHidden/>
    <w:unhideWhenUsed/>
    <w:qFormat/>
    <w:uiPriority w:val="39"/>
    <w:pPr>
      <w:keepLines/>
      <w:widowControl/>
      <w:adjustRightInd/>
      <w:snapToGrid/>
      <w:spacing w:before="480" w:line="276" w:lineRule="auto"/>
      <w:jc w:val="left"/>
      <w:outlineLvl w:val="9"/>
    </w:pPr>
    <w:rPr>
      <w:rFonts w:ascii="Cambria" w:hAnsi="Cambria"/>
      <w:b/>
      <w:bCs/>
      <w:color w:val="365F91"/>
      <w:szCs w:val="28"/>
    </w:rPr>
  </w:style>
  <w:style w:type="character" w:customStyle="1" w:styleId="35">
    <w:name w:val="批注框文本 字符"/>
    <w:basedOn w:val="22"/>
    <w:link w:val="15"/>
    <w:qFormat/>
    <w:uiPriority w:val="0"/>
    <w:rPr>
      <w:kern w:val="2"/>
      <w:sz w:val="18"/>
      <w:szCs w:val="18"/>
    </w:rPr>
  </w:style>
  <w:style w:type="character" w:customStyle="1" w:styleId="36">
    <w:name w:val="正文缩进 字符"/>
    <w:link w:val="9"/>
    <w:qFormat/>
    <w:locked/>
    <w:uiPriority w:val="99"/>
    <w:rPr>
      <w:rFonts w:ascii="Yu Mincho Light" w:hAnsi="Yu Mincho Light" w:eastAsia="Yu Mincho Light" w:cs="Yu Mincho Light"/>
      <w:kern w:val="2"/>
      <w:sz w:val="21"/>
    </w:rPr>
  </w:style>
  <w:style w:type="character" w:customStyle="1" w:styleId="37">
    <w:name w:val="font31"/>
    <w:basedOn w:val="22"/>
    <w:qFormat/>
    <w:uiPriority w:val="0"/>
    <w:rPr>
      <w:rFonts w:hint="eastAsia" w:ascii="宋体" w:hAnsi="宋体" w:eastAsia="宋体"/>
      <w:color w:val="000000"/>
      <w:sz w:val="24"/>
      <w:szCs w:val="24"/>
      <w:u w:val="none"/>
    </w:rPr>
  </w:style>
  <w:style w:type="character" w:customStyle="1" w:styleId="38">
    <w:name w:val="font81"/>
    <w:basedOn w:val="22"/>
    <w:qFormat/>
    <w:uiPriority w:val="0"/>
    <w:rPr>
      <w:rFonts w:hint="eastAsia" w:ascii="宋体" w:hAnsi="宋体" w:eastAsia="宋体"/>
      <w:color w:val="000000"/>
      <w:sz w:val="22"/>
      <w:szCs w:val="22"/>
      <w:u w:val="none"/>
    </w:rPr>
  </w:style>
  <w:style w:type="character" w:customStyle="1" w:styleId="39">
    <w:name w:val="font171"/>
    <w:basedOn w:val="22"/>
    <w:qFormat/>
    <w:uiPriority w:val="0"/>
    <w:rPr>
      <w:rFonts w:hint="default" w:ascii="Calibri" w:hAnsi="Calibri" w:cs="Calibri"/>
      <w:color w:val="000000"/>
      <w:sz w:val="24"/>
      <w:szCs w:val="24"/>
      <w:u w:val="none"/>
    </w:rPr>
  </w:style>
  <w:style w:type="character" w:customStyle="1" w:styleId="40">
    <w:name w:val="font181"/>
    <w:basedOn w:val="22"/>
    <w:qFormat/>
    <w:uiPriority w:val="0"/>
    <w:rPr>
      <w:rFonts w:hint="eastAsia" w:ascii="宋体" w:hAnsi="宋体" w:eastAsia="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8CA084-99F1-41C1-95DB-7BB054A3083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7188</Words>
  <Characters>8234</Characters>
  <Lines>88</Lines>
  <Paragraphs>24</Paragraphs>
  <TotalTime>3</TotalTime>
  <ScaleCrop>false</ScaleCrop>
  <LinksUpToDate>false</LinksUpToDate>
  <CharactersWithSpaces>8338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2023-11-21T07:09:00Z</dcterms:created>
  <dc:creator>Administrator</dc:creator>
  <cp:lastModifiedBy>yoyi</cp:lastModifiedBy>
  <cp:lastPrinted>2013-12-18T06:44:00Z</cp:lastPrinted>
  <dcterms:modified xsi:type="dcterms:W3CDTF">2026-09-14T06:20:01Z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B8D87BD4BCC64F1AA6428A34AF2659DF_13</vt:lpwstr>
  </property>
  <property fmtid="{D5CDD505-2E9C-101B-9397-08002B2CF9AE}" pid="4" name="KSOTemplateDocerSaveRecord">
    <vt:lpwstr>eyJoZGlkIjoiZDlhNjYxZTM1MTg5YmRiNWJjMWM1MTA5NDI4NzdiNjMiLCJ1c2VySWQiOiI0MTk0NTY2MDAifQ==</vt:lpwstr>
  </property>
</Properties>
</file>