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合肥高科科技股份有限公司</w:t>
      </w:r>
    </w:p>
    <w:p>
      <w:pPr>
        <w:jc w:val="both"/>
        <w:rPr>
          <w:rFonts w:hint="eastAsia" w:asciiTheme="minorEastAsia" w:hAnsiTheme="minorEastAsia" w:eastAsiaTheme="minorEastAsia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/>
          <w:b w:val="0"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40"/>
          <w:szCs w:val="40"/>
          <w:lang w:val="en-US" w:eastAsia="zh-CN"/>
        </w:rPr>
        <w:t>突发环境事件应急预案编制技术咨询服务</w:t>
      </w:r>
    </w:p>
    <w:p>
      <w:pPr>
        <w:ind w:firstLine="2833" w:firstLineChars="392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spacing w:beforeLines="100" w:afterLines="50" w:line="80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招标人：合肥高科科技股份有限公司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二零二三年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月</w:t>
      </w:r>
    </w:p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第一章：招标邀请及项目说明</w:t>
      </w:r>
    </w:p>
    <w:p>
      <w:pPr>
        <w:widowControl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u w:val="single"/>
        </w:rPr>
        <w:t>尊敬的供应商伙伴</w:t>
      </w:r>
      <w:r>
        <w:rPr>
          <w:rFonts w:hint="eastAsia" w:asciiTheme="minorEastAsia" w:hAnsiTheme="minorEastAsia" w:eastAsiaTheme="minorEastAsia"/>
          <w:b/>
          <w:szCs w:val="21"/>
          <w:u w:val="single"/>
        </w:rPr>
        <w:t>：</w:t>
      </w:r>
    </w:p>
    <w:p>
      <w:pPr>
        <w:spacing w:line="500" w:lineRule="exact"/>
        <w:ind w:firstLine="411" w:firstLineChars="196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您好！</w:t>
      </w:r>
    </w:p>
    <w:p>
      <w:pPr>
        <w:spacing w:line="500" w:lineRule="exact"/>
        <w:ind w:firstLine="411" w:firstLineChars="196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我公司拟对合肥高科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铭传路工厂开展突发环境事件应急预案编制技术咨询服务</w:t>
      </w:r>
      <w:r>
        <w:rPr>
          <w:rFonts w:hint="eastAsia" w:asciiTheme="minorEastAsia" w:hAnsiTheme="minorEastAsia" w:eastAsiaTheme="minorEastAsia"/>
          <w:szCs w:val="21"/>
        </w:rPr>
        <w:t>进行招标，特邀请贵单位参加投标。现就本次招标有关事项通知如下：</w:t>
      </w:r>
    </w:p>
    <w:p>
      <w:pPr>
        <w:jc w:val="left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突发环境事件应急预案编制技术咨询服务</w:t>
      </w:r>
      <w:r>
        <w:rPr>
          <w:rFonts w:hint="eastAsia" w:asciiTheme="minorEastAsia" w:hAnsiTheme="minorEastAsia" w:eastAsiaTheme="minorEastAsia"/>
          <w:b/>
          <w:bCs/>
          <w:szCs w:val="21"/>
        </w:rPr>
        <w:t>要求:</w:t>
      </w:r>
    </w:p>
    <w:p>
      <w:pPr>
        <w:numPr>
          <w:ilvl w:val="0"/>
          <w:numId w:val="1"/>
        </w:numPr>
        <w:spacing w:line="360" w:lineRule="auto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  <w:lang w:val="en-US" w:eastAsia="zh-CN"/>
        </w:rPr>
        <w:t>期限要求</w:t>
      </w:r>
    </w:p>
    <w:p>
      <w:pPr>
        <w:spacing w:line="360" w:lineRule="auto"/>
        <w:rPr>
          <w:rFonts w:hint="default" w:cs="宋体" w:asciiTheme="minorEastAsia" w:hAnsiTheme="minorEastAsia" w:eastAsiaTheme="minorEastAsia"/>
          <w:szCs w:val="21"/>
          <w:lang w:val="en-US"/>
        </w:rPr>
      </w:pPr>
      <w:r>
        <w:rPr>
          <w:rFonts w:hint="eastAsia" w:cs="宋体" w:asciiTheme="minorEastAsia" w:hAnsiTheme="minorEastAsia" w:eastAsiaTheme="minorEastAsia"/>
          <w:szCs w:val="21"/>
          <w:lang w:val="en-US" w:eastAsia="zh-CN"/>
        </w:rPr>
        <w:t>需要在2023年9月15日前完成预案的编制，9月25号之前完成专家评审和报告的修订。</w:t>
      </w:r>
    </w:p>
    <w:p>
      <w:pPr>
        <w:numPr>
          <w:ilvl w:val="0"/>
          <w:numId w:val="1"/>
        </w:numPr>
        <w:spacing w:line="360" w:lineRule="auto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  <w:lang w:val="en-US" w:eastAsia="zh-CN"/>
        </w:rPr>
        <w:t>报告编制要求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szCs w:val="21"/>
          <w:lang w:val="en-US" w:eastAsia="zh-CN"/>
        </w:rPr>
        <w:t>根据《突发环境事件应急预案管理暂行办法》、《企业突发环境事件风险评估指南（试行）》等标准规范进行报告的编制。</w:t>
      </w:r>
      <w:bookmarkStart w:id="2" w:name="_GoBack"/>
      <w:bookmarkEnd w:id="2"/>
    </w:p>
    <w:p>
      <w:pPr>
        <w:numPr>
          <w:ilvl w:val="0"/>
          <w:numId w:val="1"/>
        </w:numPr>
        <w:spacing w:line="360" w:lineRule="auto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  <w:lang w:val="en-US" w:eastAsia="zh-CN"/>
        </w:rPr>
        <w:t>其它事项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  <w:lang w:val="en-US" w:eastAsia="zh-CN"/>
        </w:rPr>
        <w:t>技术咨询服务费用包括报告编制费、专家评审费等涉及该项目的所有费用</w:t>
      </w:r>
      <w:r>
        <w:rPr>
          <w:rFonts w:hint="eastAsia" w:cs="宋体" w:asciiTheme="minorEastAsia" w:hAnsiTheme="minorEastAsia" w:eastAsiaTheme="minorEastAsia"/>
          <w:szCs w:val="21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b/>
          <w:bCs/>
          <w:color w:val="FF0000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FF0000"/>
          <w:szCs w:val="21"/>
          <w:lang w:val="en-US" w:eastAsia="zh-CN"/>
        </w:rPr>
        <w:t>列出整个项目的进度计划并按照要求的时间节点完成各项工作。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b w:val="0"/>
          <w:bCs w:val="0"/>
          <w:color w:val="auto"/>
          <w:szCs w:val="21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Cs w:val="21"/>
          <w:lang w:val="en-US" w:eastAsia="zh-CN"/>
        </w:rPr>
        <w:t>预案的备案由企业自行完成。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第二章：招标投标须知</w:t>
      </w:r>
    </w:p>
    <w:p>
      <w:pPr>
        <w:spacing w:line="360" w:lineRule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1、价格填写要求：</w:t>
      </w:r>
      <w:r>
        <w:rPr>
          <w:rFonts w:hint="eastAsia" w:asciiTheme="minorEastAsia" w:hAnsiTheme="minorEastAsia" w:eastAsiaTheme="minorEastAsia"/>
          <w:szCs w:val="21"/>
        </w:rPr>
        <w:t>投标人必须按照我司提供的招标标书格式进行报价，所列清单项无论价格是否填写，默认总价均已包含，不填价格项目默认按照赠送进行处理，合同确定后不得以报价未报另外增加价格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该报价为最终价格，不在进行议价。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Cs w:val="21"/>
        </w:rPr>
        <w:t>、付款条件：</w:t>
      </w:r>
      <w:r>
        <w:rPr>
          <w:rFonts w:hint="eastAsia" w:asciiTheme="minorEastAsia" w:hAnsiTheme="minorEastAsia" w:eastAsiaTheme="minorEastAsia"/>
          <w:szCs w:val="21"/>
        </w:rPr>
        <w:t>按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合同费用进行付款：</w:t>
      </w:r>
      <w:r>
        <w:rPr>
          <w:rFonts w:hint="eastAsia" w:asciiTheme="minorEastAsia" w:hAnsiTheme="minorEastAsia" w:eastAsiaTheme="minorEastAsia"/>
          <w:szCs w:val="21"/>
        </w:rPr>
        <w:t>合同签订后支付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总费用的3</w:t>
      </w:r>
      <w:r>
        <w:rPr>
          <w:rFonts w:hint="eastAsia" w:asciiTheme="minorEastAsia" w:hAnsiTheme="minorEastAsia" w:eastAsiaTheme="minorEastAsia"/>
          <w:szCs w:val="21"/>
        </w:rPr>
        <w:t>0%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作为</w:t>
      </w:r>
      <w:r>
        <w:rPr>
          <w:rFonts w:hint="eastAsia" w:asciiTheme="minorEastAsia" w:hAnsiTheme="minorEastAsia" w:eastAsiaTheme="minorEastAsia"/>
          <w:szCs w:val="21"/>
        </w:rPr>
        <w:t>预付款，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取得评审单位评审意见为通过后，开具项目全额发票，在收到发票后支付总费用的40%，在取得备案表后支付总费用的30%。</w:t>
      </w:r>
    </w:p>
    <w:p>
      <w:pPr>
        <w:spacing w:line="360" w:lineRule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Cs w:val="21"/>
        </w:rPr>
        <w:t>、付款方式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银行对公转账</w:t>
      </w:r>
    </w:p>
    <w:p>
      <w:pPr>
        <w:widowControl/>
        <w:snapToGrid w:val="0"/>
        <w:spacing w:line="360" w:lineRule="auto"/>
        <w:jc w:val="left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Cs w:val="21"/>
        </w:rPr>
        <w:t>、交货期：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在收到预付款后30天内完成报告的编制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Cs w:val="21"/>
        </w:rPr>
        <w:t>、投标方式：</w:t>
      </w:r>
      <w:r>
        <w:rPr>
          <w:rFonts w:hint="eastAsia" w:asciiTheme="minorEastAsia" w:hAnsiTheme="minorEastAsia" w:eastAsiaTheme="minorEastAsia"/>
          <w:szCs w:val="21"/>
        </w:rPr>
        <w:t>标书以PDF文件格式加盖公章及骑缝章发送到邮箱：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jingsi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jia</w:t>
      </w:r>
      <w:r>
        <w:rPr>
          <w:rFonts w:hint="eastAsia" w:asciiTheme="minorEastAsia" w:hAnsiTheme="minorEastAsia" w:eastAsiaTheme="minorEastAsia"/>
          <w:szCs w:val="21"/>
        </w:rPr>
        <w:t>@gaoco.cn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招标截止时间：</w:t>
      </w:r>
      <w:r>
        <w:rPr>
          <w:rFonts w:asciiTheme="minorEastAsia" w:hAnsiTheme="minorEastAsia" w:eastAsiaTheme="minorEastAsia"/>
          <w:kern w:val="0"/>
          <w:szCs w:val="21"/>
        </w:rPr>
        <w:t>202</w:t>
      </w:r>
      <w:r>
        <w:rPr>
          <w:rFonts w:hint="eastAsia" w:asciiTheme="minorEastAsia" w:hAnsiTheme="minorEastAsia" w:eastAsiaTheme="minorEastAsia"/>
          <w:kern w:val="0"/>
          <w:szCs w:val="21"/>
        </w:rPr>
        <w:t>3年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/>
          <w:kern w:val="0"/>
          <w:szCs w:val="21"/>
        </w:rPr>
        <w:t>月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Cs w:val="21"/>
        </w:rPr>
        <w:t>日中午1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Cs w:val="21"/>
        </w:rPr>
        <w:t>：</w:t>
      </w:r>
      <w:r>
        <w:rPr>
          <w:rFonts w:asciiTheme="minorEastAsia" w:hAnsiTheme="minorEastAsia" w:eastAsiaTheme="minorEastAsia"/>
          <w:kern w:val="0"/>
          <w:szCs w:val="21"/>
        </w:rPr>
        <w:t>00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.</w:t>
      </w:r>
    </w:p>
    <w:p>
      <w:pPr>
        <w:pStyle w:val="17"/>
        <w:numPr>
          <w:ilvl w:val="0"/>
          <w:numId w:val="0"/>
        </w:numPr>
        <w:spacing w:line="360" w:lineRule="auto"/>
        <w:ind w:leftChars="0"/>
        <w:rPr>
          <w:rFonts w:hint="default" w:asciiTheme="minorEastAsia" w:hAnsiTheme="minorEastAsia" w:eastAsiaTheme="minorEastAsia"/>
          <w:szCs w:val="21"/>
          <w:lang w:val="en-US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7、</w:t>
      </w:r>
      <w:r>
        <w:rPr>
          <w:rFonts w:hint="eastAsia" w:asciiTheme="minorEastAsia" w:hAnsiTheme="minorEastAsia" w:eastAsiaTheme="minorEastAsia"/>
          <w:b/>
          <w:szCs w:val="21"/>
        </w:rPr>
        <w:t>开标：</w:t>
      </w:r>
      <w:r>
        <w:rPr>
          <w:rFonts w:hint="eastAsia" w:asciiTheme="minorEastAsia" w:hAnsiTheme="minorEastAsia" w:eastAsiaTheme="minorEastAsia"/>
          <w:szCs w:val="21"/>
        </w:rPr>
        <w:t>开标时间2023年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Cs w:val="21"/>
        </w:rPr>
        <w:t>月1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Cs w:val="21"/>
        </w:rPr>
        <w:t>日，地点：合肥高科科技股份有限公司综合楼二楼会议室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。我司将以邮件的形式反馈给中标者。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8、</w:t>
      </w:r>
      <w:r>
        <w:rPr>
          <w:rFonts w:hint="eastAsia" w:asciiTheme="minorEastAsia" w:hAnsiTheme="minorEastAsia" w:eastAsiaTheme="minorEastAsia"/>
          <w:b/>
          <w:szCs w:val="21"/>
        </w:rPr>
        <w:t>评标委员会：</w:t>
      </w:r>
      <w:r>
        <w:rPr>
          <w:rFonts w:hint="eastAsia" w:asciiTheme="minorEastAsia" w:hAnsiTheme="minorEastAsia" w:eastAsiaTheme="minorEastAsia"/>
          <w:szCs w:val="21"/>
        </w:rPr>
        <w:t>总经办领导。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  <w:sectPr>
          <w:footerReference r:id="rId3" w:type="default"/>
          <w:pgSz w:w="11906" w:h="16838"/>
          <w:pgMar w:top="851" w:right="1077" w:bottom="851" w:left="107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第三章：投标报价书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1、报价单位：</w:t>
      </w:r>
      <w:r>
        <w:rPr>
          <w:rFonts w:hint="eastAsia" w:asciiTheme="minorEastAsia" w:hAnsiTheme="minorEastAsia" w:eastAsiaTheme="minorEastAsia"/>
          <w:color w:val="FF0000"/>
          <w:szCs w:val="21"/>
        </w:rPr>
        <w:t>请填写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2、报价明细拆分：</w:t>
      </w:r>
      <w:r>
        <w:rPr>
          <w:rFonts w:hint="eastAsia" w:asciiTheme="minorEastAsia" w:hAnsiTheme="minorEastAsia" w:eastAsiaTheme="minorEastAsia"/>
          <w:color w:val="FF0000"/>
          <w:szCs w:val="21"/>
        </w:rPr>
        <w:t>（按明细填写单价及总价）</w:t>
      </w:r>
    </w:p>
    <w:tbl>
      <w:tblPr>
        <w:tblStyle w:val="6"/>
        <w:tblW w:w="10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801"/>
        <w:gridCol w:w="3304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单价/元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含税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kern w:val="0"/>
                <w:szCs w:val="21"/>
                <w:lang w:val="en-US" w:eastAsia="zh-CN"/>
              </w:rPr>
              <w:t>标明税点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第一轮报价小计/元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含税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kern w:val="0"/>
                <w:szCs w:val="21"/>
                <w:lang w:val="en-US" w:eastAsia="zh-CN"/>
              </w:rPr>
              <w:t>标明税点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突发环境事件应急预案技术咨询费用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3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3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3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合计总价（注明大小写）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pacing w:line="400" w:lineRule="exact"/>
        <w:ind w:left="210" w:hanging="210" w:hangingChars="1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3、报价方愿按照招标文件中的一切要求提供招标物。 </w:t>
      </w:r>
    </w:p>
    <w:p>
      <w:pPr>
        <w:pStyle w:val="2"/>
        <w:spacing w:line="400" w:lineRule="exact"/>
        <w:outlineLvl w:val="0"/>
        <w:rPr>
          <w:rFonts w:asciiTheme="minorEastAsia" w:hAnsiTheme="minorEastAsia" w:eastAsiaTheme="minorEastAsia"/>
        </w:rPr>
      </w:pPr>
      <w:bookmarkStart w:id="0" w:name="_Toc274741147"/>
      <w:r>
        <w:rPr>
          <w:rFonts w:hint="eastAsia" w:asciiTheme="minorEastAsia" w:hAnsiTheme="minorEastAsia" w:eastAsiaTheme="minorEastAsia"/>
        </w:rPr>
        <w:t>4</w:t>
      </w:r>
      <w:r>
        <w:rPr>
          <w:rFonts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</w:rPr>
        <w:t xml:space="preserve"> 如果报价方标书被接受，报价方需将履行招标文件规定的每一项要求，按期保</w:t>
      </w:r>
      <w:bookmarkEnd w:id="0"/>
      <w:r>
        <w:rPr>
          <w:rFonts w:hint="eastAsia" w:asciiTheme="minorEastAsia" w:hAnsiTheme="minorEastAsia" w:eastAsiaTheme="minorEastAsia"/>
        </w:rPr>
        <w:t>质完成交货任务。</w:t>
      </w:r>
    </w:p>
    <w:p>
      <w:pPr>
        <w:pStyle w:val="2"/>
        <w:spacing w:line="4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</w:t>
      </w:r>
      <w:r>
        <w:rPr>
          <w:rFonts w:asciiTheme="minorEastAsia" w:hAnsiTheme="minorEastAsia" w:eastAsiaTheme="minorEastAsia"/>
        </w:rPr>
        <w:t xml:space="preserve">. </w:t>
      </w:r>
      <w:r>
        <w:rPr>
          <w:rFonts w:hint="eastAsia" w:asciiTheme="minorEastAsia" w:hAnsiTheme="minorEastAsia" w:eastAsiaTheme="minorEastAsia"/>
        </w:rPr>
        <w:t>报价方同意按照招标文件规定，提供招标者要求的所有资料。</w:t>
      </w:r>
    </w:p>
    <w:p>
      <w:pPr>
        <w:pStyle w:val="2"/>
        <w:spacing w:line="400" w:lineRule="exact"/>
        <w:outlineLvl w:val="0"/>
        <w:rPr>
          <w:rFonts w:hint="eastAsia" w:asciiTheme="minorEastAsia" w:hAnsiTheme="minorEastAsia" w:eastAsiaTheme="minorEastAsia"/>
        </w:rPr>
      </w:pPr>
      <w:bookmarkStart w:id="1" w:name="_Toc274741148"/>
      <w:r>
        <w:rPr>
          <w:rFonts w:hint="eastAsia" w:asciiTheme="minorEastAsia" w:hAnsiTheme="minorEastAsia" w:eastAsiaTheme="minorEastAsia"/>
        </w:rPr>
        <w:t>6</w:t>
      </w:r>
      <w:r>
        <w:rPr>
          <w:rFonts w:asciiTheme="minorEastAsia" w:hAnsiTheme="minorEastAsia" w:eastAsiaTheme="minorEastAsia"/>
        </w:rPr>
        <w:t xml:space="preserve">. </w:t>
      </w:r>
      <w:r>
        <w:rPr>
          <w:rFonts w:hint="eastAsia" w:asciiTheme="minorEastAsia" w:hAnsiTheme="minorEastAsia" w:eastAsiaTheme="minorEastAsia"/>
        </w:rPr>
        <w:t>报价方愿按《中华人民共和国合同法》和《反不正当竞争法》履行自己的全</w:t>
      </w:r>
      <w:bookmarkEnd w:id="1"/>
      <w:r>
        <w:rPr>
          <w:rFonts w:hint="eastAsia" w:asciiTheme="minorEastAsia" w:hAnsiTheme="minorEastAsia" w:eastAsiaTheme="minorEastAsia"/>
        </w:rPr>
        <w:t>部责任，承认并遵守标书所有内容。</w:t>
      </w:r>
    </w:p>
    <w:p>
      <w:pPr>
        <w:pStyle w:val="2"/>
        <w:spacing w:line="400" w:lineRule="exact"/>
        <w:outlineLvl w:val="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7.投标时附上公司营业执照、公司简介和客户业绩表。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报价单位（签章）：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报价联系人及联系电话：</w:t>
      </w:r>
    </w:p>
    <w:p>
      <w:pPr>
        <w:spacing w:line="360" w:lineRule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联系人邮箱：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日期</w: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389802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218FF6"/>
    <w:multiLevelType w:val="singleLevel"/>
    <w:tmpl w:val="B7218F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8CADF1"/>
    <w:multiLevelType w:val="singleLevel"/>
    <w:tmpl w:val="DA8CAD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DgzZGM4NzViYmY0NmQ5NDg1ZTk4MDdmYWQ1YWEifQ=="/>
  </w:docVars>
  <w:rsids>
    <w:rsidRoot w:val="00822398"/>
    <w:rsid w:val="000126B1"/>
    <w:rsid w:val="00016CBE"/>
    <w:rsid w:val="00020106"/>
    <w:rsid w:val="000242F6"/>
    <w:rsid w:val="000738E6"/>
    <w:rsid w:val="000A1A74"/>
    <w:rsid w:val="000A699E"/>
    <w:rsid w:val="000C5780"/>
    <w:rsid w:val="000F0820"/>
    <w:rsid w:val="00160CD7"/>
    <w:rsid w:val="0019486C"/>
    <w:rsid w:val="002248EB"/>
    <w:rsid w:val="00237DD9"/>
    <w:rsid w:val="002533BC"/>
    <w:rsid w:val="00254309"/>
    <w:rsid w:val="0027016D"/>
    <w:rsid w:val="0027605D"/>
    <w:rsid w:val="0028111B"/>
    <w:rsid w:val="00283095"/>
    <w:rsid w:val="002908FF"/>
    <w:rsid w:val="00292329"/>
    <w:rsid w:val="002A0D15"/>
    <w:rsid w:val="002A1C2D"/>
    <w:rsid w:val="002A6AED"/>
    <w:rsid w:val="002C3145"/>
    <w:rsid w:val="002F7BC0"/>
    <w:rsid w:val="0032489D"/>
    <w:rsid w:val="00324C43"/>
    <w:rsid w:val="0032622F"/>
    <w:rsid w:val="00361CF5"/>
    <w:rsid w:val="003870C9"/>
    <w:rsid w:val="00390D7F"/>
    <w:rsid w:val="00391F7C"/>
    <w:rsid w:val="00393DC2"/>
    <w:rsid w:val="003A05A8"/>
    <w:rsid w:val="003A2400"/>
    <w:rsid w:val="003A4197"/>
    <w:rsid w:val="003A576E"/>
    <w:rsid w:val="003B6C5E"/>
    <w:rsid w:val="003D1672"/>
    <w:rsid w:val="003F7CE1"/>
    <w:rsid w:val="0040033E"/>
    <w:rsid w:val="00400D6B"/>
    <w:rsid w:val="00407F63"/>
    <w:rsid w:val="00435A03"/>
    <w:rsid w:val="00440A47"/>
    <w:rsid w:val="00473CD5"/>
    <w:rsid w:val="004A3F7F"/>
    <w:rsid w:val="004A4829"/>
    <w:rsid w:val="004A5F0D"/>
    <w:rsid w:val="004C447B"/>
    <w:rsid w:val="004C5057"/>
    <w:rsid w:val="004F6643"/>
    <w:rsid w:val="00527C0E"/>
    <w:rsid w:val="00561608"/>
    <w:rsid w:val="00562F66"/>
    <w:rsid w:val="00565725"/>
    <w:rsid w:val="00567272"/>
    <w:rsid w:val="00572D9F"/>
    <w:rsid w:val="005734DD"/>
    <w:rsid w:val="00582491"/>
    <w:rsid w:val="00585BFD"/>
    <w:rsid w:val="005927E3"/>
    <w:rsid w:val="00596EEB"/>
    <w:rsid w:val="005A51C1"/>
    <w:rsid w:val="005B41D7"/>
    <w:rsid w:val="005C069C"/>
    <w:rsid w:val="005C0BB8"/>
    <w:rsid w:val="005D0FC7"/>
    <w:rsid w:val="005D11C6"/>
    <w:rsid w:val="005F3B7D"/>
    <w:rsid w:val="005F7D47"/>
    <w:rsid w:val="0062356A"/>
    <w:rsid w:val="006300FD"/>
    <w:rsid w:val="0064306C"/>
    <w:rsid w:val="006548AB"/>
    <w:rsid w:val="00663CE9"/>
    <w:rsid w:val="00681B27"/>
    <w:rsid w:val="006834C7"/>
    <w:rsid w:val="006A3BD1"/>
    <w:rsid w:val="006A65C0"/>
    <w:rsid w:val="006F21FC"/>
    <w:rsid w:val="0070535A"/>
    <w:rsid w:val="00732DD5"/>
    <w:rsid w:val="0074669D"/>
    <w:rsid w:val="007536D7"/>
    <w:rsid w:val="0077431A"/>
    <w:rsid w:val="00787893"/>
    <w:rsid w:val="007C5AB2"/>
    <w:rsid w:val="007D281C"/>
    <w:rsid w:val="007D4774"/>
    <w:rsid w:val="007D6A0D"/>
    <w:rsid w:val="007F101A"/>
    <w:rsid w:val="008162A4"/>
    <w:rsid w:val="00822398"/>
    <w:rsid w:val="00831B18"/>
    <w:rsid w:val="008978DE"/>
    <w:rsid w:val="008B633F"/>
    <w:rsid w:val="008E6849"/>
    <w:rsid w:val="008F39C0"/>
    <w:rsid w:val="008F699C"/>
    <w:rsid w:val="009130AB"/>
    <w:rsid w:val="00947736"/>
    <w:rsid w:val="0097026E"/>
    <w:rsid w:val="009A22F2"/>
    <w:rsid w:val="009D02BD"/>
    <w:rsid w:val="00A1493F"/>
    <w:rsid w:val="00A312A7"/>
    <w:rsid w:val="00A538D7"/>
    <w:rsid w:val="00A80FD3"/>
    <w:rsid w:val="00A81B3E"/>
    <w:rsid w:val="00AA2031"/>
    <w:rsid w:val="00AB1042"/>
    <w:rsid w:val="00AC7B3C"/>
    <w:rsid w:val="00AD3A1C"/>
    <w:rsid w:val="00B05681"/>
    <w:rsid w:val="00B12306"/>
    <w:rsid w:val="00B131EA"/>
    <w:rsid w:val="00B23A7D"/>
    <w:rsid w:val="00B31C7F"/>
    <w:rsid w:val="00B374E8"/>
    <w:rsid w:val="00B4002B"/>
    <w:rsid w:val="00B72FCB"/>
    <w:rsid w:val="00B778E1"/>
    <w:rsid w:val="00BC52D2"/>
    <w:rsid w:val="00BE0AD2"/>
    <w:rsid w:val="00BF3215"/>
    <w:rsid w:val="00BF73A7"/>
    <w:rsid w:val="00C13916"/>
    <w:rsid w:val="00C66E39"/>
    <w:rsid w:val="00C741BE"/>
    <w:rsid w:val="00C8005C"/>
    <w:rsid w:val="00C81B86"/>
    <w:rsid w:val="00CA342B"/>
    <w:rsid w:val="00CA564A"/>
    <w:rsid w:val="00CB1C1D"/>
    <w:rsid w:val="00CF635D"/>
    <w:rsid w:val="00D05D20"/>
    <w:rsid w:val="00D20AA4"/>
    <w:rsid w:val="00D30FD5"/>
    <w:rsid w:val="00D40929"/>
    <w:rsid w:val="00D46D1F"/>
    <w:rsid w:val="00D57080"/>
    <w:rsid w:val="00D6204B"/>
    <w:rsid w:val="00D72C06"/>
    <w:rsid w:val="00D937EB"/>
    <w:rsid w:val="00DB067E"/>
    <w:rsid w:val="00DC5888"/>
    <w:rsid w:val="00DE23E6"/>
    <w:rsid w:val="00E06DD0"/>
    <w:rsid w:val="00E06F78"/>
    <w:rsid w:val="00E10BF6"/>
    <w:rsid w:val="00E128AD"/>
    <w:rsid w:val="00E35D98"/>
    <w:rsid w:val="00E65095"/>
    <w:rsid w:val="00E7521D"/>
    <w:rsid w:val="00EA7BFC"/>
    <w:rsid w:val="00EF15C8"/>
    <w:rsid w:val="00EF6097"/>
    <w:rsid w:val="00F10E42"/>
    <w:rsid w:val="00F40BC5"/>
    <w:rsid w:val="00F954BB"/>
    <w:rsid w:val="00FA7C7A"/>
    <w:rsid w:val="00FC5EDA"/>
    <w:rsid w:val="00FD1DDE"/>
    <w:rsid w:val="00FD3EE5"/>
    <w:rsid w:val="00FE6EA7"/>
    <w:rsid w:val="00FF2118"/>
    <w:rsid w:val="00FF271A"/>
    <w:rsid w:val="01972E09"/>
    <w:rsid w:val="05A32302"/>
    <w:rsid w:val="05FE6D9B"/>
    <w:rsid w:val="07827853"/>
    <w:rsid w:val="08015112"/>
    <w:rsid w:val="0A1E52FD"/>
    <w:rsid w:val="0E4025FE"/>
    <w:rsid w:val="0F141223"/>
    <w:rsid w:val="144875ED"/>
    <w:rsid w:val="15610EC9"/>
    <w:rsid w:val="186449B5"/>
    <w:rsid w:val="190F3387"/>
    <w:rsid w:val="2026670A"/>
    <w:rsid w:val="20BE4E7E"/>
    <w:rsid w:val="212948DD"/>
    <w:rsid w:val="24FE1344"/>
    <w:rsid w:val="2E006C54"/>
    <w:rsid w:val="2FCA2595"/>
    <w:rsid w:val="373B2975"/>
    <w:rsid w:val="38B44532"/>
    <w:rsid w:val="3A0969AB"/>
    <w:rsid w:val="3A626E70"/>
    <w:rsid w:val="3ACE19D1"/>
    <w:rsid w:val="3FB54C84"/>
    <w:rsid w:val="42B95746"/>
    <w:rsid w:val="44E64E5B"/>
    <w:rsid w:val="451A79E6"/>
    <w:rsid w:val="4D035A74"/>
    <w:rsid w:val="50102754"/>
    <w:rsid w:val="519F015E"/>
    <w:rsid w:val="55640263"/>
    <w:rsid w:val="599976F7"/>
    <w:rsid w:val="5C0250C7"/>
    <w:rsid w:val="5EEA61D6"/>
    <w:rsid w:val="63916254"/>
    <w:rsid w:val="63DA0A9F"/>
    <w:rsid w:val="6BF40563"/>
    <w:rsid w:val="6C5D623A"/>
    <w:rsid w:val="6DF331E6"/>
    <w:rsid w:val="71C2776B"/>
    <w:rsid w:val="7DFD0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mail_info_expanded_contact_address"/>
    <w:basedOn w:val="7"/>
    <w:qFormat/>
    <w:uiPriority w:val="0"/>
  </w:style>
  <w:style w:type="character" w:customStyle="1" w:styleId="13">
    <w:name w:val="mail_info_expanded_receiver"/>
    <w:basedOn w:val="7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7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D4FF-1D3D-49ED-ABD1-50E0ABB3D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1005</Words>
  <Characters>1052</Characters>
  <Lines>16</Lines>
  <Paragraphs>4</Paragraphs>
  <TotalTime>58</TotalTime>
  <ScaleCrop>false</ScaleCrop>
  <LinksUpToDate>false</LinksUpToDate>
  <CharactersWithSpaces>1056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2019-07-23T05:47:00Z</dcterms:created>
  <dc:creator>微软用户</dc:creator>
  <cp:lastModifiedBy>大风起兮云飞扬</cp:lastModifiedBy>
  <cp:lastPrinted>2019-07-23T07:46:00Z</cp:lastPrinted>
  <dcterms:modified xsi:type="dcterms:W3CDTF">2023-08-08T00:18:53Z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9B775343351E475AB87CA3F39F71BBB0_13</vt:lpwstr>
  </property>
</Properties>
</file>